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52" w:rsidRPr="009D10BF" w:rsidRDefault="004111DB" w:rsidP="004111DB">
      <w:pPr>
        <w:spacing w:after="0" w:line="240" w:lineRule="auto"/>
        <w:rPr>
          <w:rFonts w:ascii="Times New Roman" w:hAnsi="Times New Roman" w:cs="Times New Roman"/>
          <w:sz w:val="24"/>
          <w:szCs w:val="24"/>
        </w:rPr>
      </w:pPr>
      <w:bookmarkStart w:id="0" w:name="_GoBack"/>
      <w:bookmarkEnd w:id="0"/>
      <w:r w:rsidRPr="009D10BF">
        <w:rPr>
          <w:rFonts w:ascii="Times New Roman" w:hAnsi="Times New Roman" w:cs="Times New Roman"/>
          <w:sz w:val="24"/>
          <w:szCs w:val="24"/>
        </w:rPr>
        <w:t>David Sjögren</w:t>
      </w:r>
    </w:p>
    <w:p w:rsidR="004111DB" w:rsidRPr="009D10BF" w:rsidRDefault="004111DB" w:rsidP="004111DB">
      <w:pPr>
        <w:spacing w:after="0" w:line="240" w:lineRule="auto"/>
        <w:rPr>
          <w:rFonts w:ascii="Times New Roman" w:hAnsi="Times New Roman" w:cs="Times New Roman"/>
          <w:sz w:val="24"/>
          <w:szCs w:val="24"/>
        </w:rPr>
      </w:pPr>
      <w:r w:rsidRPr="009D10BF">
        <w:rPr>
          <w:rFonts w:ascii="Times New Roman" w:hAnsi="Times New Roman" w:cs="Times New Roman"/>
          <w:sz w:val="24"/>
          <w:szCs w:val="24"/>
        </w:rPr>
        <w:t>Postdok</w:t>
      </w:r>
      <w:r w:rsidR="00C469AD">
        <w:rPr>
          <w:rFonts w:ascii="Times New Roman" w:hAnsi="Times New Roman" w:cs="Times New Roman"/>
          <w:sz w:val="24"/>
          <w:szCs w:val="24"/>
        </w:rPr>
        <w:t>tor</w:t>
      </w:r>
      <w:r w:rsidRPr="009D10BF">
        <w:rPr>
          <w:rFonts w:ascii="Times New Roman" w:hAnsi="Times New Roman" w:cs="Times New Roman"/>
          <w:sz w:val="24"/>
          <w:szCs w:val="24"/>
        </w:rPr>
        <w:t xml:space="preserve"> i historia</w:t>
      </w:r>
    </w:p>
    <w:p w:rsidR="00C469AD" w:rsidRDefault="00C469AD" w:rsidP="004111DB">
      <w:pPr>
        <w:spacing w:after="0" w:line="240" w:lineRule="auto"/>
        <w:rPr>
          <w:rFonts w:ascii="Times New Roman" w:hAnsi="Times New Roman" w:cs="Times New Roman"/>
          <w:sz w:val="24"/>
          <w:szCs w:val="24"/>
        </w:rPr>
      </w:pPr>
      <w:r>
        <w:rPr>
          <w:rFonts w:ascii="Times New Roman" w:hAnsi="Times New Roman" w:cs="Times New Roman"/>
          <w:sz w:val="24"/>
          <w:szCs w:val="24"/>
        </w:rPr>
        <w:t>Institutionen för idé- och samhällsstudier</w:t>
      </w:r>
    </w:p>
    <w:p w:rsidR="004111DB" w:rsidRPr="009D10BF" w:rsidRDefault="004111DB" w:rsidP="004111DB">
      <w:pPr>
        <w:spacing w:after="0" w:line="240" w:lineRule="auto"/>
        <w:rPr>
          <w:rFonts w:ascii="Times New Roman" w:hAnsi="Times New Roman" w:cs="Times New Roman"/>
          <w:sz w:val="24"/>
          <w:szCs w:val="24"/>
        </w:rPr>
      </w:pPr>
      <w:r w:rsidRPr="009D10BF">
        <w:rPr>
          <w:rFonts w:ascii="Times New Roman" w:hAnsi="Times New Roman" w:cs="Times New Roman"/>
          <w:sz w:val="24"/>
          <w:szCs w:val="24"/>
        </w:rPr>
        <w:t>Umeå universitet</w:t>
      </w:r>
    </w:p>
    <w:p w:rsidR="004111DB" w:rsidRPr="009D10BF" w:rsidRDefault="004111DB" w:rsidP="004111DB">
      <w:pPr>
        <w:spacing w:after="0" w:line="240" w:lineRule="auto"/>
        <w:rPr>
          <w:rFonts w:ascii="Times New Roman" w:hAnsi="Times New Roman" w:cs="Times New Roman"/>
          <w:sz w:val="24"/>
          <w:szCs w:val="24"/>
        </w:rPr>
      </w:pPr>
      <w:r w:rsidRPr="009D10BF">
        <w:rPr>
          <w:rFonts w:ascii="Times New Roman" w:hAnsi="Times New Roman" w:cs="Times New Roman"/>
          <w:sz w:val="24"/>
          <w:szCs w:val="24"/>
        </w:rPr>
        <w:t xml:space="preserve">Rapport till </w:t>
      </w:r>
      <w:r w:rsidR="00C469AD">
        <w:rPr>
          <w:rFonts w:ascii="Times New Roman" w:hAnsi="Times New Roman" w:cs="Times New Roman"/>
          <w:sz w:val="24"/>
          <w:szCs w:val="24"/>
        </w:rPr>
        <w:t>fakultetsnämnden 16/9 2011</w:t>
      </w:r>
    </w:p>
    <w:p w:rsidR="004111DB" w:rsidRPr="009D10BF" w:rsidRDefault="004111DB">
      <w:pPr>
        <w:rPr>
          <w:rFonts w:ascii="Times New Roman" w:hAnsi="Times New Roman" w:cs="Times New Roman"/>
          <w:sz w:val="24"/>
          <w:szCs w:val="24"/>
        </w:rPr>
      </w:pPr>
    </w:p>
    <w:p w:rsidR="004111DB" w:rsidRPr="009D10BF" w:rsidRDefault="004111DB" w:rsidP="004111DB">
      <w:pPr>
        <w:pStyle w:val="Rubrik1"/>
        <w:jc w:val="center"/>
        <w:rPr>
          <w:rFonts w:ascii="Times New Roman" w:hAnsi="Times New Roman" w:cs="Times New Roman"/>
          <w:sz w:val="24"/>
          <w:szCs w:val="24"/>
        </w:rPr>
      </w:pPr>
    </w:p>
    <w:p w:rsidR="00636605" w:rsidRDefault="00636605" w:rsidP="004111DB">
      <w:pPr>
        <w:pStyle w:val="Rubrik1"/>
        <w:jc w:val="center"/>
        <w:rPr>
          <w:rFonts w:ascii="Times New Roman" w:hAnsi="Times New Roman" w:cs="Times New Roman"/>
          <w:sz w:val="44"/>
          <w:szCs w:val="44"/>
        </w:rPr>
      </w:pPr>
    </w:p>
    <w:p w:rsidR="00636605" w:rsidRDefault="00636605" w:rsidP="004111DB">
      <w:pPr>
        <w:pStyle w:val="Rubrik1"/>
        <w:jc w:val="center"/>
        <w:rPr>
          <w:rFonts w:ascii="Times New Roman" w:hAnsi="Times New Roman" w:cs="Times New Roman"/>
          <w:sz w:val="44"/>
          <w:szCs w:val="44"/>
        </w:rPr>
      </w:pPr>
    </w:p>
    <w:p w:rsidR="00636605" w:rsidRDefault="00636605" w:rsidP="004111DB">
      <w:pPr>
        <w:pStyle w:val="Rubrik1"/>
        <w:jc w:val="center"/>
        <w:rPr>
          <w:rFonts w:ascii="Times New Roman" w:hAnsi="Times New Roman" w:cs="Times New Roman"/>
          <w:sz w:val="44"/>
          <w:szCs w:val="44"/>
        </w:rPr>
      </w:pPr>
    </w:p>
    <w:p w:rsidR="004111DB" w:rsidRPr="00636605" w:rsidRDefault="004111DB" w:rsidP="004111DB">
      <w:pPr>
        <w:pStyle w:val="Rubrik1"/>
        <w:jc w:val="center"/>
        <w:rPr>
          <w:rFonts w:ascii="Times New Roman" w:hAnsi="Times New Roman" w:cs="Times New Roman"/>
          <w:sz w:val="44"/>
          <w:szCs w:val="44"/>
        </w:rPr>
      </w:pPr>
      <w:r w:rsidRPr="00636605">
        <w:rPr>
          <w:rFonts w:ascii="Times New Roman" w:hAnsi="Times New Roman" w:cs="Times New Roman"/>
          <w:sz w:val="44"/>
          <w:szCs w:val="44"/>
        </w:rPr>
        <w:t>Utvärdering av kvalitetsbaserat resurs</w:t>
      </w:r>
      <w:r w:rsidR="00C469AD">
        <w:rPr>
          <w:rFonts w:ascii="Times New Roman" w:hAnsi="Times New Roman" w:cs="Times New Roman"/>
          <w:sz w:val="44"/>
          <w:szCs w:val="44"/>
        </w:rPr>
        <w:t>till</w:t>
      </w:r>
      <w:r w:rsidRPr="00636605">
        <w:rPr>
          <w:rFonts w:ascii="Times New Roman" w:hAnsi="Times New Roman" w:cs="Times New Roman"/>
          <w:sz w:val="44"/>
          <w:szCs w:val="44"/>
        </w:rPr>
        <w:t>delningssystem på humanistiska fakulteten</w:t>
      </w:r>
    </w:p>
    <w:p w:rsidR="004111DB" w:rsidRPr="009D10BF" w:rsidRDefault="004111DB">
      <w:pPr>
        <w:rPr>
          <w:rFonts w:ascii="Times New Roman" w:eastAsiaTheme="majorEastAsia" w:hAnsi="Times New Roman" w:cs="Times New Roman"/>
          <w:b/>
          <w:bCs/>
          <w:color w:val="365F91" w:themeColor="accent1" w:themeShade="BF"/>
          <w:sz w:val="24"/>
          <w:szCs w:val="24"/>
        </w:rPr>
      </w:pPr>
      <w:r w:rsidRPr="009D10BF">
        <w:rPr>
          <w:rFonts w:ascii="Times New Roman" w:hAnsi="Times New Roman" w:cs="Times New Roman"/>
          <w:sz w:val="24"/>
          <w:szCs w:val="24"/>
        </w:rPr>
        <w:br w:type="page"/>
      </w:r>
    </w:p>
    <w:p w:rsidR="004111DB" w:rsidRPr="009D10BF" w:rsidRDefault="00736D88" w:rsidP="004111DB">
      <w:pPr>
        <w:pStyle w:val="Rubrik2"/>
        <w:numPr>
          <w:ilvl w:val="0"/>
          <w:numId w:val="1"/>
        </w:numPr>
        <w:rPr>
          <w:rFonts w:ascii="Times New Roman" w:hAnsi="Times New Roman" w:cs="Times New Roman"/>
          <w:sz w:val="24"/>
          <w:szCs w:val="24"/>
        </w:rPr>
      </w:pPr>
      <w:r w:rsidRPr="009D10BF">
        <w:rPr>
          <w:rFonts w:ascii="Times New Roman" w:hAnsi="Times New Roman" w:cs="Times New Roman"/>
          <w:sz w:val="24"/>
          <w:szCs w:val="24"/>
        </w:rPr>
        <w:lastRenderedPageBreak/>
        <w:t>Bakgrund</w:t>
      </w:r>
    </w:p>
    <w:p w:rsidR="006A7338" w:rsidRPr="00401350" w:rsidRDefault="004111DB" w:rsidP="00E951C0">
      <w:pPr>
        <w:spacing w:after="0" w:line="240" w:lineRule="auto"/>
        <w:rPr>
          <w:rFonts w:ascii="Times New Roman" w:hAnsi="Times New Roman" w:cs="Times New Roman"/>
          <w:sz w:val="24"/>
          <w:szCs w:val="24"/>
        </w:rPr>
      </w:pPr>
      <w:r w:rsidRPr="00401350">
        <w:rPr>
          <w:rFonts w:ascii="Times New Roman" w:hAnsi="Times New Roman" w:cs="Times New Roman"/>
          <w:sz w:val="24"/>
          <w:szCs w:val="24"/>
        </w:rPr>
        <w:t>På uppdrag av fakultetsnämnden på humanistisk fakultet redovisas här en utvärdering av de</w:t>
      </w:r>
      <w:r w:rsidR="000F4BB6">
        <w:rPr>
          <w:rFonts w:ascii="Times New Roman" w:hAnsi="Times New Roman" w:cs="Times New Roman"/>
          <w:sz w:val="24"/>
          <w:szCs w:val="24"/>
        </w:rPr>
        <w:t>t kvalitetsbaserade resursförtill</w:t>
      </w:r>
      <w:r w:rsidRPr="00401350">
        <w:rPr>
          <w:rFonts w:ascii="Times New Roman" w:hAnsi="Times New Roman" w:cs="Times New Roman"/>
          <w:sz w:val="24"/>
          <w:szCs w:val="24"/>
        </w:rPr>
        <w:t xml:space="preserve">ningssystem som tillämpats sedan 2008. </w:t>
      </w:r>
      <w:r w:rsidR="00E5153E" w:rsidRPr="00401350">
        <w:rPr>
          <w:rFonts w:ascii="Times New Roman" w:hAnsi="Times New Roman" w:cs="Times New Roman"/>
          <w:sz w:val="24"/>
          <w:szCs w:val="24"/>
        </w:rPr>
        <w:t xml:space="preserve">En omfattande </w:t>
      </w:r>
      <w:r w:rsidR="00C469AD">
        <w:rPr>
          <w:rFonts w:ascii="Times New Roman" w:hAnsi="Times New Roman" w:cs="Times New Roman"/>
          <w:sz w:val="24"/>
          <w:szCs w:val="24"/>
        </w:rPr>
        <w:t xml:space="preserve">reformarbete rörande humanistiska fakulteten påbörjades 2006 under rubriceringen Humanistisk offensiv. Reformarbetet resulterade i en </w:t>
      </w:r>
      <w:r w:rsidR="00E5153E" w:rsidRPr="00401350">
        <w:rPr>
          <w:rFonts w:ascii="Times New Roman" w:hAnsi="Times New Roman" w:cs="Times New Roman"/>
          <w:sz w:val="24"/>
          <w:szCs w:val="24"/>
        </w:rPr>
        <w:t xml:space="preserve">satsning på humanistisk forskning </w:t>
      </w:r>
      <w:r w:rsidR="009A4ED8" w:rsidRPr="00401350">
        <w:rPr>
          <w:rFonts w:ascii="Times New Roman" w:hAnsi="Times New Roman" w:cs="Times New Roman"/>
          <w:sz w:val="24"/>
          <w:szCs w:val="24"/>
        </w:rPr>
        <w:t xml:space="preserve">och undervisning </w:t>
      </w:r>
      <w:r w:rsidR="00E5153E" w:rsidRPr="00401350">
        <w:rPr>
          <w:rFonts w:ascii="Times New Roman" w:hAnsi="Times New Roman" w:cs="Times New Roman"/>
          <w:sz w:val="24"/>
          <w:szCs w:val="24"/>
        </w:rPr>
        <w:t>i inledningen av 200</w:t>
      </w:r>
      <w:r w:rsidR="004F4E45" w:rsidRPr="00401350">
        <w:rPr>
          <w:rFonts w:ascii="Times New Roman" w:hAnsi="Times New Roman" w:cs="Times New Roman"/>
          <w:sz w:val="24"/>
          <w:szCs w:val="24"/>
        </w:rPr>
        <w:t>8</w:t>
      </w:r>
      <w:r w:rsidR="00736D88" w:rsidRPr="00401350">
        <w:rPr>
          <w:rFonts w:ascii="Times New Roman" w:hAnsi="Times New Roman" w:cs="Times New Roman"/>
          <w:sz w:val="24"/>
          <w:szCs w:val="24"/>
        </w:rPr>
        <w:t xml:space="preserve">. </w:t>
      </w:r>
      <w:r w:rsidR="00E5153E" w:rsidRPr="00401350">
        <w:rPr>
          <w:rFonts w:ascii="Times New Roman" w:hAnsi="Times New Roman" w:cs="Times New Roman"/>
          <w:sz w:val="24"/>
          <w:szCs w:val="24"/>
        </w:rPr>
        <w:t xml:space="preserve">Samtidigt </w:t>
      </w:r>
      <w:r w:rsidR="00C469AD">
        <w:rPr>
          <w:rFonts w:ascii="Times New Roman" w:hAnsi="Times New Roman" w:cs="Times New Roman"/>
          <w:sz w:val="24"/>
          <w:szCs w:val="24"/>
        </w:rPr>
        <w:t>trädde fakultetens omorganisation i kraft och</w:t>
      </w:r>
      <w:r w:rsidR="00E5153E" w:rsidRPr="00401350">
        <w:rPr>
          <w:rFonts w:ascii="Times New Roman" w:hAnsi="Times New Roman" w:cs="Times New Roman"/>
          <w:sz w:val="24"/>
          <w:szCs w:val="24"/>
        </w:rPr>
        <w:t xml:space="preserve"> fakultet</w:t>
      </w:r>
      <w:r w:rsidR="00C469AD">
        <w:rPr>
          <w:rFonts w:ascii="Times New Roman" w:hAnsi="Times New Roman" w:cs="Times New Roman"/>
          <w:sz w:val="24"/>
          <w:szCs w:val="24"/>
        </w:rPr>
        <w:t>en</w:t>
      </w:r>
      <w:r w:rsidR="00E5153E" w:rsidRPr="00401350">
        <w:rPr>
          <w:rFonts w:ascii="Times New Roman" w:hAnsi="Times New Roman" w:cs="Times New Roman"/>
          <w:sz w:val="24"/>
          <w:szCs w:val="24"/>
        </w:rPr>
        <w:t xml:space="preserve">s institutioner slogs samman till större enheter. </w:t>
      </w:r>
      <w:r w:rsidR="00C469AD">
        <w:rPr>
          <w:rFonts w:ascii="Times New Roman" w:hAnsi="Times New Roman" w:cs="Times New Roman"/>
          <w:sz w:val="24"/>
          <w:szCs w:val="24"/>
        </w:rPr>
        <w:t>Reformarbetet</w:t>
      </w:r>
      <w:r w:rsidR="00E5153E" w:rsidRPr="00401350">
        <w:rPr>
          <w:rFonts w:ascii="Times New Roman" w:hAnsi="Times New Roman" w:cs="Times New Roman"/>
          <w:sz w:val="24"/>
          <w:szCs w:val="24"/>
        </w:rPr>
        <w:t xml:space="preserve"> innebar också att fakulteten erhöll mer forskningsresurser från universitet</w:t>
      </w:r>
      <w:r w:rsidR="00C469AD">
        <w:rPr>
          <w:rFonts w:ascii="Times New Roman" w:hAnsi="Times New Roman" w:cs="Times New Roman"/>
          <w:sz w:val="24"/>
          <w:szCs w:val="24"/>
        </w:rPr>
        <w:t>et</w:t>
      </w:r>
      <w:r w:rsidR="00E5153E" w:rsidRPr="00401350">
        <w:rPr>
          <w:rFonts w:ascii="Times New Roman" w:hAnsi="Times New Roman" w:cs="Times New Roman"/>
          <w:sz w:val="24"/>
          <w:szCs w:val="24"/>
        </w:rPr>
        <w:t xml:space="preserve">, med krav på att resurserna skulle fördelas </w:t>
      </w:r>
      <w:r w:rsidR="00C469AD">
        <w:rPr>
          <w:rFonts w:ascii="Times New Roman" w:hAnsi="Times New Roman" w:cs="Times New Roman"/>
          <w:sz w:val="24"/>
          <w:szCs w:val="24"/>
        </w:rPr>
        <w:t>enligt ett kvalitetsbaserat system</w:t>
      </w:r>
      <w:r w:rsidR="00E5153E" w:rsidRPr="00401350">
        <w:rPr>
          <w:rFonts w:ascii="Times New Roman" w:hAnsi="Times New Roman" w:cs="Times New Roman"/>
          <w:sz w:val="24"/>
          <w:szCs w:val="24"/>
        </w:rPr>
        <w:t xml:space="preserve">. </w:t>
      </w:r>
      <w:r w:rsidR="009A4ED8" w:rsidRPr="00401350">
        <w:rPr>
          <w:rFonts w:ascii="Times New Roman" w:hAnsi="Times New Roman" w:cs="Times New Roman"/>
          <w:sz w:val="24"/>
          <w:szCs w:val="24"/>
        </w:rPr>
        <w:t xml:space="preserve">Universitetsstyrelsen </w:t>
      </w:r>
      <w:r w:rsidR="00C469AD">
        <w:rPr>
          <w:rFonts w:ascii="Times New Roman" w:hAnsi="Times New Roman" w:cs="Times New Roman"/>
          <w:sz w:val="24"/>
          <w:szCs w:val="24"/>
        </w:rPr>
        <w:t xml:space="preserve">hade redan tidigare </w:t>
      </w:r>
      <w:proofErr w:type="gramStart"/>
      <w:r w:rsidR="00C469AD">
        <w:rPr>
          <w:rFonts w:ascii="Times New Roman" w:hAnsi="Times New Roman" w:cs="Times New Roman"/>
          <w:sz w:val="24"/>
          <w:szCs w:val="24"/>
        </w:rPr>
        <w:t>givit</w:t>
      </w:r>
      <w:proofErr w:type="gramEnd"/>
      <w:r w:rsidR="00C469AD">
        <w:rPr>
          <w:rFonts w:ascii="Times New Roman" w:hAnsi="Times New Roman" w:cs="Times New Roman"/>
          <w:sz w:val="24"/>
          <w:szCs w:val="24"/>
        </w:rPr>
        <w:t xml:space="preserve"> i </w:t>
      </w:r>
      <w:r w:rsidR="009A4ED8" w:rsidRPr="00401350">
        <w:rPr>
          <w:rFonts w:ascii="Times New Roman" w:hAnsi="Times New Roman" w:cs="Times New Roman"/>
          <w:sz w:val="24"/>
          <w:szCs w:val="24"/>
        </w:rPr>
        <w:t>uppdrag åt fakulteterna att utveckl</w:t>
      </w:r>
      <w:r w:rsidR="000F4BB6">
        <w:rPr>
          <w:rFonts w:ascii="Times New Roman" w:hAnsi="Times New Roman" w:cs="Times New Roman"/>
          <w:sz w:val="24"/>
          <w:szCs w:val="24"/>
        </w:rPr>
        <w:t>a ett kvalitetsbaserat resurstill</w:t>
      </w:r>
      <w:r w:rsidR="009A4ED8" w:rsidRPr="00401350">
        <w:rPr>
          <w:rFonts w:ascii="Times New Roman" w:hAnsi="Times New Roman" w:cs="Times New Roman"/>
          <w:sz w:val="24"/>
          <w:szCs w:val="24"/>
        </w:rPr>
        <w:t>delningssystem med tydliga och transparenta regler varefter målet var att minst en tredjedel av de totala fakultetsresurserna för forskning och forskarutbildning skulle fördel</w:t>
      </w:r>
      <w:r w:rsidR="000F4BB6">
        <w:rPr>
          <w:rFonts w:ascii="Times New Roman" w:hAnsi="Times New Roman" w:cs="Times New Roman"/>
          <w:sz w:val="24"/>
          <w:szCs w:val="24"/>
        </w:rPr>
        <w:t>as enligt de framtagna resurstill</w:t>
      </w:r>
      <w:r w:rsidR="009A4ED8" w:rsidRPr="00401350">
        <w:rPr>
          <w:rFonts w:ascii="Times New Roman" w:hAnsi="Times New Roman" w:cs="Times New Roman"/>
          <w:sz w:val="24"/>
          <w:szCs w:val="24"/>
        </w:rPr>
        <w:t xml:space="preserve">delningskriterierna. </w:t>
      </w:r>
      <w:r w:rsidR="000F4BB6">
        <w:rPr>
          <w:rFonts w:ascii="Times New Roman" w:hAnsi="Times New Roman" w:cs="Times New Roman"/>
          <w:sz w:val="24"/>
          <w:szCs w:val="24"/>
        </w:rPr>
        <w:t>Den modell för resurstill</w:t>
      </w:r>
      <w:r w:rsidR="00E5153E" w:rsidRPr="00401350">
        <w:rPr>
          <w:rFonts w:ascii="Times New Roman" w:hAnsi="Times New Roman" w:cs="Times New Roman"/>
          <w:sz w:val="24"/>
          <w:szCs w:val="24"/>
        </w:rPr>
        <w:t>delning</w:t>
      </w:r>
      <w:r w:rsidR="006A7338" w:rsidRPr="00401350">
        <w:rPr>
          <w:rFonts w:ascii="Times New Roman" w:hAnsi="Times New Roman" w:cs="Times New Roman"/>
          <w:sz w:val="24"/>
          <w:szCs w:val="24"/>
        </w:rPr>
        <w:t>,</w:t>
      </w:r>
      <w:r w:rsidR="00E5153E" w:rsidRPr="00401350">
        <w:rPr>
          <w:rFonts w:ascii="Times New Roman" w:hAnsi="Times New Roman" w:cs="Times New Roman"/>
          <w:sz w:val="24"/>
          <w:szCs w:val="24"/>
        </w:rPr>
        <w:t xml:space="preserve"> som arbetades fram på humanistisk fakultet</w:t>
      </w:r>
      <w:r w:rsidR="006A7338" w:rsidRPr="00401350">
        <w:rPr>
          <w:rFonts w:ascii="Times New Roman" w:hAnsi="Times New Roman" w:cs="Times New Roman"/>
          <w:sz w:val="24"/>
          <w:szCs w:val="24"/>
        </w:rPr>
        <w:t>,</w:t>
      </w:r>
      <w:r w:rsidR="00E5153E" w:rsidRPr="00401350">
        <w:rPr>
          <w:rFonts w:ascii="Times New Roman" w:hAnsi="Times New Roman" w:cs="Times New Roman"/>
          <w:sz w:val="24"/>
          <w:szCs w:val="24"/>
        </w:rPr>
        <w:t xml:space="preserve"> blev en avvägning mellan liknande system inom andra discipliner och </w:t>
      </w:r>
      <w:r w:rsidR="006A7338" w:rsidRPr="00401350">
        <w:rPr>
          <w:rFonts w:ascii="Times New Roman" w:hAnsi="Times New Roman" w:cs="Times New Roman"/>
          <w:sz w:val="24"/>
          <w:szCs w:val="24"/>
        </w:rPr>
        <w:t>de forskningstraditioner som man menade var unika för humanistisk forskning.</w:t>
      </w:r>
      <w:r w:rsidR="00736D88" w:rsidRPr="00401350">
        <w:rPr>
          <w:rFonts w:ascii="Times New Roman" w:hAnsi="Times New Roman" w:cs="Times New Roman"/>
          <w:sz w:val="24"/>
          <w:szCs w:val="24"/>
        </w:rPr>
        <w:t xml:space="preserve"> Förmåga att erhålla externa medel i konkurrens och mängden vetenskapliga publiceringar med tyngdpunkt på internationell publicering blev centrala kriterier i det utarbetade r</w:t>
      </w:r>
      <w:r w:rsidR="000F4BB6">
        <w:rPr>
          <w:rFonts w:ascii="Times New Roman" w:hAnsi="Times New Roman" w:cs="Times New Roman"/>
          <w:sz w:val="24"/>
          <w:szCs w:val="24"/>
        </w:rPr>
        <w:t>esurstill</w:t>
      </w:r>
      <w:r w:rsidR="00736D88" w:rsidRPr="00401350">
        <w:rPr>
          <w:rFonts w:ascii="Times New Roman" w:hAnsi="Times New Roman" w:cs="Times New Roman"/>
          <w:sz w:val="24"/>
          <w:szCs w:val="24"/>
        </w:rPr>
        <w:t xml:space="preserve">delningssystemet. </w:t>
      </w:r>
      <w:r w:rsidR="00754C6F" w:rsidRPr="00401350">
        <w:rPr>
          <w:rFonts w:ascii="Times New Roman" w:hAnsi="Times New Roman" w:cs="Times New Roman"/>
          <w:sz w:val="24"/>
          <w:szCs w:val="24"/>
        </w:rPr>
        <w:t xml:space="preserve">Detta system antogs, vid sidan av att fungera som ett instrument för fördelning av forskningsresurser, också bidra till ökad internationell publicering och ökad andel extern forskning. </w:t>
      </w:r>
      <w:r w:rsidR="006A7338" w:rsidRPr="00401350">
        <w:rPr>
          <w:rFonts w:ascii="Times New Roman" w:hAnsi="Times New Roman" w:cs="Times New Roman"/>
          <w:sz w:val="24"/>
          <w:szCs w:val="24"/>
        </w:rPr>
        <w:t>I viss mån påverkades utarbet</w:t>
      </w:r>
      <w:r w:rsidR="00C469AD">
        <w:rPr>
          <w:rFonts w:ascii="Times New Roman" w:hAnsi="Times New Roman" w:cs="Times New Roman"/>
          <w:sz w:val="24"/>
          <w:szCs w:val="24"/>
        </w:rPr>
        <w:t>andet</w:t>
      </w:r>
      <w:r w:rsidR="006A7338" w:rsidRPr="00401350">
        <w:rPr>
          <w:rFonts w:ascii="Times New Roman" w:hAnsi="Times New Roman" w:cs="Times New Roman"/>
          <w:sz w:val="24"/>
          <w:szCs w:val="24"/>
        </w:rPr>
        <w:t xml:space="preserve"> av ett hu</w:t>
      </w:r>
      <w:r w:rsidR="000F4BB6">
        <w:rPr>
          <w:rFonts w:ascii="Times New Roman" w:hAnsi="Times New Roman" w:cs="Times New Roman"/>
          <w:sz w:val="24"/>
          <w:szCs w:val="24"/>
        </w:rPr>
        <w:t>manistiskt resurstill</w:t>
      </w:r>
      <w:r w:rsidR="006A7338" w:rsidRPr="00401350">
        <w:rPr>
          <w:rFonts w:ascii="Times New Roman" w:hAnsi="Times New Roman" w:cs="Times New Roman"/>
          <w:sz w:val="24"/>
          <w:szCs w:val="24"/>
        </w:rPr>
        <w:t>delningssystem av en internationell trend, där framför allt jämförelser gjordes med Norge.</w:t>
      </w:r>
      <w:r w:rsidR="00736D88" w:rsidRPr="00401350">
        <w:rPr>
          <w:rFonts w:ascii="Times New Roman" w:hAnsi="Times New Roman" w:cs="Times New Roman"/>
          <w:sz w:val="24"/>
          <w:szCs w:val="24"/>
        </w:rPr>
        <w:t xml:space="preserve"> </w:t>
      </w:r>
    </w:p>
    <w:p w:rsidR="004F4E45" w:rsidRPr="009D10BF" w:rsidRDefault="000F4BB6" w:rsidP="004F4E45">
      <w:pPr>
        <w:pStyle w:val="Rubrik2"/>
        <w:numPr>
          <w:ilvl w:val="0"/>
          <w:numId w:val="1"/>
        </w:numPr>
        <w:rPr>
          <w:rFonts w:ascii="Times New Roman" w:hAnsi="Times New Roman" w:cs="Times New Roman"/>
          <w:sz w:val="24"/>
          <w:szCs w:val="24"/>
        </w:rPr>
      </w:pPr>
      <w:r>
        <w:rPr>
          <w:rFonts w:ascii="Times New Roman" w:hAnsi="Times New Roman" w:cs="Times New Roman"/>
          <w:sz w:val="24"/>
          <w:szCs w:val="24"/>
        </w:rPr>
        <w:t>Resurstill</w:t>
      </w:r>
      <w:r w:rsidR="004F4E45" w:rsidRPr="009D10BF">
        <w:rPr>
          <w:rFonts w:ascii="Times New Roman" w:hAnsi="Times New Roman" w:cs="Times New Roman"/>
          <w:sz w:val="24"/>
          <w:szCs w:val="24"/>
        </w:rPr>
        <w:t>delningssystemet</w:t>
      </w:r>
    </w:p>
    <w:p w:rsidR="00A725BA" w:rsidRPr="009D10BF" w:rsidRDefault="000F4BB6" w:rsidP="00A725BA">
      <w:pPr>
        <w:rPr>
          <w:rFonts w:ascii="Times New Roman" w:hAnsi="Times New Roman" w:cs="Times New Roman"/>
          <w:sz w:val="24"/>
          <w:szCs w:val="24"/>
        </w:rPr>
      </w:pPr>
      <w:r>
        <w:rPr>
          <w:rFonts w:ascii="Times New Roman" w:hAnsi="Times New Roman" w:cs="Times New Roman"/>
          <w:sz w:val="24"/>
          <w:szCs w:val="24"/>
        </w:rPr>
        <w:t>Resurstill</w:t>
      </w:r>
      <w:r w:rsidR="00A725BA" w:rsidRPr="009D10BF">
        <w:rPr>
          <w:rFonts w:ascii="Times New Roman" w:hAnsi="Times New Roman" w:cs="Times New Roman"/>
          <w:sz w:val="24"/>
          <w:szCs w:val="24"/>
        </w:rPr>
        <w:t xml:space="preserve">delningssystemet har hittills tillämpats vid fyra tillfällen (ht 2008, vt 2009, ht 2009 och vt 2010). </w:t>
      </w:r>
      <w:r w:rsidR="0053570C" w:rsidRPr="009D10BF">
        <w:rPr>
          <w:rFonts w:ascii="Times New Roman" w:hAnsi="Times New Roman" w:cs="Times New Roman"/>
          <w:sz w:val="24"/>
          <w:szCs w:val="24"/>
        </w:rPr>
        <w:t>Medel har avsatts till forskningst</w:t>
      </w:r>
      <w:r w:rsidR="008C52CE" w:rsidRPr="009D10BF">
        <w:rPr>
          <w:rFonts w:ascii="Times New Roman" w:hAnsi="Times New Roman" w:cs="Times New Roman"/>
          <w:sz w:val="24"/>
          <w:szCs w:val="24"/>
        </w:rPr>
        <w:t>id till enskild lärare/forskare och</w:t>
      </w:r>
      <w:r w:rsidR="0053570C" w:rsidRPr="009D10BF">
        <w:rPr>
          <w:rFonts w:ascii="Times New Roman" w:hAnsi="Times New Roman" w:cs="Times New Roman"/>
          <w:sz w:val="24"/>
          <w:szCs w:val="24"/>
        </w:rPr>
        <w:t xml:space="preserve"> forskarstuderande eller postdoktor. Ansökan och bedömning har varit individuell där den sökande bedömts efter uppsatta kriterier. Medel har således tillfallit en enskild forskare/lärare i konkurrens med andra. Medel till forskarstuderande och postdoktor har knutits till enskilda forskares/lärares ansökan och de som tilldelats medel har därefter </w:t>
      </w:r>
      <w:r w:rsidR="00C469AD">
        <w:rPr>
          <w:rFonts w:ascii="Times New Roman" w:hAnsi="Times New Roman" w:cs="Times New Roman"/>
          <w:sz w:val="24"/>
          <w:szCs w:val="24"/>
        </w:rPr>
        <w:t>tillsammans med fakultetsledningen formulerat utlysning av doktorandanställning</w:t>
      </w:r>
      <w:r w:rsidR="0053570C" w:rsidRPr="009D10BF">
        <w:rPr>
          <w:rFonts w:ascii="Times New Roman" w:hAnsi="Times New Roman" w:cs="Times New Roman"/>
          <w:sz w:val="24"/>
          <w:szCs w:val="24"/>
        </w:rPr>
        <w:t xml:space="preserve"> eller </w:t>
      </w:r>
      <w:r w:rsidR="00C469AD">
        <w:rPr>
          <w:rFonts w:ascii="Times New Roman" w:hAnsi="Times New Roman" w:cs="Times New Roman"/>
          <w:sz w:val="24"/>
          <w:szCs w:val="24"/>
        </w:rPr>
        <w:t xml:space="preserve">anställning </w:t>
      </w:r>
      <w:r w:rsidR="0053570C" w:rsidRPr="009D10BF">
        <w:rPr>
          <w:rFonts w:ascii="Times New Roman" w:hAnsi="Times New Roman" w:cs="Times New Roman"/>
          <w:sz w:val="24"/>
          <w:szCs w:val="24"/>
        </w:rPr>
        <w:t xml:space="preserve">som postdoktor inom en särskild forskningsinriktning.    </w:t>
      </w:r>
      <w:r w:rsidR="00A725BA" w:rsidRPr="009D10BF">
        <w:rPr>
          <w:rFonts w:ascii="Times New Roman" w:hAnsi="Times New Roman" w:cs="Times New Roman"/>
          <w:sz w:val="24"/>
          <w:szCs w:val="24"/>
        </w:rPr>
        <w:t xml:space="preserve">  </w:t>
      </w:r>
    </w:p>
    <w:p w:rsidR="004F4E45" w:rsidRPr="009D10BF" w:rsidRDefault="00833B98" w:rsidP="00833B98">
      <w:pPr>
        <w:pStyle w:val="Rubrik2"/>
        <w:numPr>
          <w:ilvl w:val="0"/>
          <w:numId w:val="1"/>
        </w:numPr>
        <w:rPr>
          <w:rFonts w:ascii="Times New Roman" w:hAnsi="Times New Roman" w:cs="Times New Roman"/>
          <w:sz w:val="24"/>
          <w:szCs w:val="24"/>
        </w:rPr>
      </w:pPr>
      <w:r w:rsidRPr="009D10BF">
        <w:rPr>
          <w:rFonts w:ascii="Times New Roman" w:hAnsi="Times New Roman" w:cs="Times New Roman"/>
          <w:sz w:val="24"/>
          <w:szCs w:val="24"/>
        </w:rPr>
        <w:t>Utvärderingsuppdraget</w:t>
      </w:r>
    </w:p>
    <w:p w:rsidR="00833B98" w:rsidRPr="009D10BF" w:rsidRDefault="00833B98" w:rsidP="00833B98">
      <w:pPr>
        <w:rPr>
          <w:rFonts w:ascii="Times New Roman" w:hAnsi="Times New Roman" w:cs="Times New Roman"/>
          <w:sz w:val="24"/>
          <w:szCs w:val="24"/>
        </w:rPr>
      </w:pPr>
      <w:r w:rsidRPr="009D10BF">
        <w:rPr>
          <w:rFonts w:ascii="Times New Roman" w:hAnsi="Times New Roman" w:cs="Times New Roman"/>
          <w:sz w:val="24"/>
          <w:szCs w:val="24"/>
        </w:rPr>
        <w:t>Enligt uppdraget</w:t>
      </w:r>
      <w:r w:rsidR="00754C6F" w:rsidRPr="009D10BF">
        <w:rPr>
          <w:rFonts w:ascii="Times New Roman" w:hAnsi="Times New Roman" w:cs="Times New Roman"/>
          <w:sz w:val="24"/>
          <w:szCs w:val="24"/>
        </w:rPr>
        <w:t xml:space="preserve"> skall utvärderingen främst fokusera faktorerna ökad internationell publicering och ökad andel extern forskning och systemets betydelse för humanistisk fakultet i helhet. Uppdraget bestod i att undersöka några övergripande kvantifierbara faktorer:</w:t>
      </w:r>
    </w:p>
    <w:p w:rsidR="00754C6F" w:rsidRPr="009D10BF" w:rsidRDefault="00754C6F"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 xml:space="preserve">Har internationella publiceringar ökat på ett övergripande plan de senaste åren? </w:t>
      </w:r>
    </w:p>
    <w:p w:rsidR="00754C6F" w:rsidRPr="009D10BF" w:rsidRDefault="00754C6F"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Har forskare som fått d</w:t>
      </w:r>
      <w:r w:rsidR="000F4BB6">
        <w:rPr>
          <w:rFonts w:ascii="Times New Roman" w:hAnsi="Times New Roman" w:cs="Times New Roman"/>
          <w:sz w:val="24"/>
          <w:szCs w:val="24"/>
        </w:rPr>
        <w:t>el av kvalitetsbaserad resurstill</w:t>
      </w:r>
      <w:r w:rsidRPr="009D10BF">
        <w:rPr>
          <w:rFonts w:ascii="Times New Roman" w:hAnsi="Times New Roman" w:cs="Times New Roman"/>
          <w:sz w:val="24"/>
          <w:szCs w:val="24"/>
        </w:rPr>
        <w:t xml:space="preserve">delning </w:t>
      </w:r>
      <w:r w:rsidR="00B9275D">
        <w:rPr>
          <w:rFonts w:ascii="Times New Roman" w:hAnsi="Times New Roman" w:cs="Times New Roman"/>
          <w:sz w:val="24"/>
          <w:szCs w:val="24"/>
        </w:rPr>
        <w:t xml:space="preserve">(som forskningstid samt </w:t>
      </w:r>
      <w:r w:rsidR="00A725BA" w:rsidRPr="009D10BF">
        <w:rPr>
          <w:rFonts w:ascii="Times New Roman" w:hAnsi="Times New Roman" w:cs="Times New Roman"/>
          <w:sz w:val="24"/>
          <w:szCs w:val="24"/>
        </w:rPr>
        <w:t>miljö med postdoktorer eller forskarstuderande) ökat sin internationella publicering under perioden, jämfört med publiceringar under tidigare period för samma forskare?</w:t>
      </w:r>
    </w:p>
    <w:p w:rsidR="00A725BA" w:rsidRPr="009D10BF" w:rsidRDefault="00A725BA"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Har nationell publicering ökat enligt de två punkterna ovan?</w:t>
      </w:r>
    </w:p>
    <w:p w:rsidR="0053570C" w:rsidRPr="009D10BF" w:rsidRDefault="0053570C"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Har publiceringar ökat eller minskat i tyngre tidskrifter/monografier (definition är norska listan nivå 2)?</w:t>
      </w:r>
    </w:p>
    <w:p w:rsidR="0053570C" w:rsidRPr="009D10BF" w:rsidRDefault="000C19C1"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Har vi fått fler externa ansökningar – och fler beviljade ansökningar?</w:t>
      </w:r>
    </w:p>
    <w:p w:rsidR="000C19C1" w:rsidRPr="009D10BF" w:rsidRDefault="000C19C1"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Hur fungerar vårt nuvarande system i jämförelse med exempelvis en modifierad tillämpning av publiceringspoäng i enlighet med den norska listan?</w:t>
      </w:r>
    </w:p>
    <w:p w:rsidR="000C19C1" w:rsidRPr="009D10BF" w:rsidRDefault="000C19C1"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lastRenderedPageBreak/>
        <w:t>Finns det tillräckliga incitament för alla att söka medel? Vad visar en jämställdhets och åldersanalys vad gäller söktryck och utfall?</w:t>
      </w:r>
    </w:p>
    <w:p w:rsidR="000C19C1" w:rsidRPr="009D10BF" w:rsidRDefault="000C19C1"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Har antalet docenter och professorer ökat i relation till totala antalet tillsvidareanställda disputerade lärare sedan systemet infördes?</w:t>
      </w:r>
    </w:p>
    <w:p w:rsidR="000C19C1" w:rsidRPr="009D10BF" w:rsidRDefault="000C19C1" w:rsidP="00754C6F">
      <w:pPr>
        <w:pStyle w:val="Liststycke"/>
        <w:numPr>
          <w:ilvl w:val="0"/>
          <w:numId w:val="2"/>
        </w:numPr>
        <w:rPr>
          <w:rFonts w:ascii="Times New Roman" w:hAnsi="Times New Roman" w:cs="Times New Roman"/>
          <w:sz w:val="24"/>
          <w:szCs w:val="24"/>
        </w:rPr>
      </w:pPr>
      <w:r w:rsidRPr="009D10BF">
        <w:rPr>
          <w:rFonts w:ascii="Times New Roman" w:hAnsi="Times New Roman" w:cs="Times New Roman"/>
          <w:sz w:val="24"/>
          <w:szCs w:val="24"/>
        </w:rPr>
        <w:t>Övriga faktorer som indikerar för- och nackdelar av systemet och som kan komma att kartläggas vid undersökningen?</w:t>
      </w:r>
    </w:p>
    <w:p w:rsidR="000C19C1" w:rsidRPr="009D10BF" w:rsidRDefault="000C19C1" w:rsidP="000C19C1">
      <w:pPr>
        <w:rPr>
          <w:rFonts w:ascii="Times New Roman" w:hAnsi="Times New Roman" w:cs="Times New Roman"/>
          <w:sz w:val="24"/>
          <w:szCs w:val="24"/>
        </w:rPr>
      </w:pPr>
    </w:p>
    <w:p w:rsidR="00C469AD" w:rsidRDefault="008C52CE" w:rsidP="00833B98">
      <w:pPr>
        <w:rPr>
          <w:rFonts w:ascii="Times New Roman" w:hAnsi="Times New Roman" w:cs="Times New Roman"/>
          <w:sz w:val="24"/>
          <w:szCs w:val="24"/>
        </w:rPr>
      </w:pPr>
      <w:r w:rsidRPr="009D10BF">
        <w:rPr>
          <w:rFonts w:ascii="Times New Roman" w:hAnsi="Times New Roman" w:cs="Times New Roman"/>
          <w:sz w:val="24"/>
          <w:szCs w:val="24"/>
        </w:rPr>
        <w:t>Utvärderingen som genomfördes under vårterminen 2011 o</w:t>
      </w:r>
      <w:r w:rsidR="00C469AD">
        <w:rPr>
          <w:rFonts w:ascii="Times New Roman" w:hAnsi="Times New Roman" w:cs="Times New Roman"/>
          <w:sz w:val="24"/>
          <w:szCs w:val="24"/>
        </w:rPr>
        <w:t>mfattar två utvärderingsområden, d</w:t>
      </w:r>
      <w:r w:rsidRPr="009D10BF">
        <w:rPr>
          <w:rFonts w:ascii="Times New Roman" w:hAnsi="Times New Roman" w:cs="Times New Roman"/>
          <w:sz w:val="24"/>
          <w:szCs w:val="24"/>
        </w:rPr>
        <w:t xml:space="preserve">els en kvantitativ undersökning av sökandefrekvens, publiceringar och en köns- och åldersanalys, dels en enkätundersökning. </w:t>
      </w:r>
      <w:r w:rsidR="00C469AD" w:rsidRPr="009D10BF">
        <w:rPr>
          <w:rFonts w:ascii="Times New Roman" w:hAnsi="Times New Roman" w:cs="Times New Roman"/>
          <w:sz w:val="24"/>
          <w:szCs w:val="24"/>
        </w:rPr>
        <w:t>Enkätundersökning</w:t>
      </w:r>
      <w:r w:rsidR="00C469AD">
        <w:rPr>
          <w:rFonts w:ascii="Times New Roman" w:hAnsi="Times New Roman" w:cs="Times New Roman"/>
          <w:sz w:val="24"/>
          <w:szCs w:val="24"/>
        </w:rPr>
        <w:t>en</w:t>
      </w:r>
      <w:r w:rsidR="00C469AD" w:rsidRPr="009D10BF">
        <w:rPr>
          <w:rFonts w:ascii="Times New Roman" w:hAnsi="Times New Roman" w:cs="Times New Roman"/>
          <w:sz w:val="24"/>
          <w:szCs w:val="24"/>
        </w:rPr>
        <w:t xml:space="preserve">s viktigaste resultat kommer att presenteras </w:t>
      </w:r>
      <w:r w:rsidR="00B149D8">
        <w:rPr>
          <w:rFonts w:ascii="Times New Roman" w:hAnsi="Times New Roman" w:cs="Times New Roman"/>
          <w:sz w:val="24"/>
          <w:szCs w:val="24"/>
        </w:rPr>
        <w:t>i resultatdelen</w:t>
      </w:r>
      <w:r w:rsidR="00C469AD" w:rsidRPr="009D10BF">
        <w:rPr>
          <w:rFonts w:ascii="Times New Roman" w:hAnsi="Times New Roman" w:cs="Times New Roman"/>
          <w:sz w:val="24"/>
          <w:szCs w:val="24"/>
        </w:rPr>
        <w:t xml:space="preserve">, men den bifogas </w:t>
      </w:r>
      <w:r w:rsidR="00B149D8" w:rsidRPr="009D10BF">
        <w:rPr>
          <w:rFonts w:ascii="Times New Roman" w:hAnsi="Times New Roman" w:cs="Times New Roman"/>
          <w:sz w:val="24"/>
          <w:szCs w:val="24"/>
        </w:rPr>
        <w:t xml:space="preserve">också </w:t>
      </w:r>
      <w:r w:rsidR="00C469AD" w:rsidRPr="009D10BF">
        <w:rPr>
          <w:rFonts w:ascii="Times New Roman" w:hAnsi="Times New Roman" w:cs="Times New Roman"/>
          <w:sz w:val="24"/>
          <w:szCs w:val="24"/>
        </w:rPr>
        <w:t>till rapporten i sin helhet.</w:t>
      </w:r>
    </w:p>
    <w:p w:rsidR="00754C6F" w:rsidRPr="00C469AD" w:rsidRDefault="00C469AD" w:rsidP="00833B98">
      <w:pPr>
        <w:rPr>
          <w:rFonts w:ascii="Times New Roman" w:hAnsi="Times New Roman" w:cs="Times New Roman"/>
          <w:sz w:val="24"/>
          <w:szCs w:val="24"/>
        </w:rPr>
      </w:pPr>
      <w:r w:rsidRPr="00C469AD">
        <w:rPr>
          <w:rFonts w:ascii="Times New Roman" w:hAnsi="Times New Roman" w:cs="Times New Roman"/>
          <w:sz w:val="24"/>
          <w:szCs w:val="24"/>
        </w:rPr>
        <w:t xml:space="preserve">Ovanstående frågor har varit vägledande för arbetet men uppdragsgivaren har betonat att utvärderingen skulle utföras självständigt, </w:t>
      </w:r>
      <w:r w:rsidR="00B149D8">
        <w:rPr>
          <w:rFonts w:ascii="Times New Roman" w:hAnsi="Times New Roman" w:cs="Times New Roman"/>
          <w:sz w:val="24"/>
          <w:szCs w:val="24"/>
        </w:rPr>
        <w:t xml:space="preserve">och utformas </w:t>
      </w:r>
      <w:r w:rsidRPr="00C469AD">
        <w:rPr>
          <w:rFonts w:ascii="Times New Roman" w:hAnsi="Times New Roman" w:cs="Times New Roman"/>
          <w:sz w:val="24"/>
          <w:szCs w:val="24"/>
        </w:rPr>
        <w:t xml:space="preserve">beroende </w:t>
      </w:r>
      <w:r w:rsidR="00B149D8">
        <w:rPr>
          <w:rFonts w:ascii="Times New Roman" w:hAnsi="Times New Roman" w:cs="Times New Roman"/>
          <w:sz w:val="24"/>
          <w:szCs w:val="24"/>
        </w:rPr>
        <w:t>på</w:t>
      </w:r>
      <w:r w:rsidRPr="00C469AD">
        <w:rPr>
          <w:rFonts w:ascii="Times New Roman" w:hAnsi="Times New Roman" w:cs="Times New Roman"/>
          <w:sz w:val="24"/>
          <w:szCs w:val="24"/>
        </w:rPr>
        <w:t xml:space="preserve"> vilka delresultat som </w:t>
      </w:r>
      <w:r w:rsidR="00B149D8">
        <w:rPr>
          <w:rFonts w:ascii="Times New Roman" w:hAnsi="Times New Roman" w:cs="Times New Roman"/>
          <w:sz w:val="24"/>
          <w:szCs w:val="24"/>
        </w:rPr>
        <w:t>framkom</w:t>
      </w:r>
      <w:r w:rsidRPr="00C469AD">
        <w:rPr>
          <w:rFonts w:ascii="Times New Roman" w:hAnsi="Times New Roman" w:cs="Times New Roman"/>
          <w:sz w:val="24"/>
          <w:szCs w:val="24"/>
        </w:rPr>
        <w:t xml:space="preserve">. När det gäller jämförelser mellan fakultetens resurstilldelningssystem och den s.k. norska listan, så får jag hänvisa till kommande utvärderingsarbete. </w:t>
      </w:r>
    </w:p>
    <w:p w:rsidR="00833B98" w:rsidRPr="00C469AD" w:rsidRDefault="008C52CE" w:rsidP="008C52CE">
      <w:pPr>
        <w:pStyle w:val="Rubrik2"/>
        <w:rPr>
          <w:rFonts w:ascii="Times New Roman" w:hAnsi="Times New Roman" w:cs="Times New Roman"/>
          <w:sz w:val="24"/>
          <w:szCs w:val="24"/>
        </w:rPr>
      </w:pPr>
      <w:r w:rsidRPr="00C469AD">
        <w:rPr>
          <w:rFonts w:ascii="Times New Roman" w:hAnsi="Times New Roman" w:cs="Times New Roman"/>
          <w:sz w:val="24"/>
          <w:szCs w:val="24"/>
        </w:rPr>
        <w:t>4 Den kvantitativa undersökningen</w:t>
      </w:r>
    </w:p>
    <w:p w:rsidR="001A6D53" w:rsidRPr="00C469AD" w:rsidRDefault="001A6D53" w:rsidP="001A6D53">
      <w:pPr>
        <w:rPr>
          <w:rFonts w:ascii="Times New Roman" w:hAnsi="Times New Roman" w:cs="Times New Roman"/>
          <w:sz w:val="24"/>
          <w:szCs w:val="24"/>
        </w:rPr>
      </w:pPr>
      <w:r w:rsidRPr="00C469AD">
        <w:rPr>
          <w:rFonts w:ascii="Times New Roman" w:hAnsi="Times New Roman" w:cs="Times New Roman"/>
          <w:sz w:val="24"/>
          <w:szCs w:val="24"/>
        </w:rPr>
        <w:t xml:space="preserve">I undersökningen har jag avsiktligt skiljt mellan sökande för forskningstid och sökande för postdoktor/doktorander. Anledningen är att sökandegrupperna visar ganska stora olikheter, vilket </w:t>
      </w:r>
      <w:r w:rsidR="00C469AD" w:rsidRPr="00C469AD">
        <w:rPr>
          <w:rFonts w:ascii="Times New Roman" w:hAnsi="Times New Roman" w:cs="Times New Roman"/>
          <w:sz w:val="24"/>
          <w:szCs w:val="24"/>
        </w:rPr>
        <w:t>framgår</w:t>
      </w:r>
      <w:r w:rsidRPr="00C469AD">
        <w:rPr>
          <w:rFonts w:ascii="Times New Roman" w:hAnsi="Times New Roman" w:cs="Times New Roman"/>
          <w:sz w:val="24"/>
          <w:szCs w:val="24"/>
        </w:rPr>
        <w:t xml:space="preserve"> nedan. Jag har också haft för avsikt att skilja mellan gruppen som fått ansökan beviljad och hela sökandegruppen. Skälet till det är att kunna påvisa vad som utmärker de som erhåller medel jämfört med hela sökandegruppen. </w:t>
      </w:r>
    </w:p>
    <w:p w:rsidR="009C5192" w:rsidRPr="00C469AD" w:rsidRDefault="009C5192" w:rsidP="00DA4848">
      <w:pPr>
        <w:pStyle w:val="Rubrik4"/>
        <w:rPr>
          <w:rFonts w:ascii="Times New Roman" w:hAnsi="Times New Roman" w:cs="Times New Roman"/>
          <w:sz w:val="24"/>
          <w:szCs w:val="24"/>
        </w:rPr>
      </w:pPr>
      <w:r w:rsidRPr="00C469AD">
        <w:rPr>
          <w:rFonts w:ascii="Times New Roman" w:hAnsi="Times New Roman" w:cs="Times New Roman"/>
          <w:sz w:val="24"/>
          <w:szCs w:val="24"/>
        </w:rPr>
        <w:t>4.1 Sökandefrekvens</w:t>
      </w:r>
    </w:p>
    <w:p w:rsidR="009C5192" w:rsidRPr="00C469AD" w:rsidRDefault="009C5192" w:rsidP="009C5192">
      <w:pPr>
        <w:rPr>
          <w:rFonts w:ascii="Times New Roman" w:hAnsi="Times New Roman" w:cs="Times New Roman"/>
          <w:sz w:val="24"/>
          <w:szCs w:val="24"/>
        </w:rPr>
      </w:pPr>
      <w:r w:rsidRPr="00C469AD">
        <w:rPr>
          <w:rFonts w:ascii="Times New Roman" w:hAnsi="Times New Roman" w:cs="Times New Roman"/>
          <w:sz w:val="24"/>
          <w:szCs w:val="24"/>
        </w:rPr>
        <w:t>I de fyra ansökningsomgångarna har sammanlagt 65 individer ansökt om medel.</w:t>
      </w:r>
    </w:p>
    <w:p w:rsidR="009D10BF" w:rsidRPr="00C469AD" w:rsidRDefault="009D10BF" w:rsidP="009C5192">
      <w:pPr>
        <w:rPr>
          <w:rFonts w:ascii="Times New Roman" w:hAnsi="Times New Roman" w:cs="Times New Roman"/>
          <w:sz w:val="24"/>
          <w:szCs w:val="24"/>
        </w:rPr>
      </w:pPr>
      <w:r w:rsidRPr="00C469AD">
        <w:rPr>
          <w:rFonts w:ascii="Times New Roman" w:hAnsi="Times New Roman" w:cs="Times New Roman"/>
          <w:sz w:val="24"/>
          <w:szCs w:val="24"/>
        </w:rPr>
        <w:t>Tabell 1. Sökandefrekvens och antalet beviljade och avslagna ansökningar N=65</w:t>
      </w:r>
    </w:p>
    <w:tbl>
      <w:tblPr>
        <w:tblStyle w:val="Tabellrutn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67"/>
        <w:gridCol w:w="3686"/>
        <w:gridCol w:w="708"/>
      </w:tblGrid>
      <w:tr w:rsidR="009D10BF" w:rsidRPr="009D10BF" w:rsidTr="00401350">
        <w:tc>
          <w:tcPr>
            <w:tcW w:w="3652" w:type="dxa"/>
          </w:tcPr>
          <w:p w:rsidR="009D10BF" w:rsidRPr="00401350" w:rsidRDefault="00401350" w:rsidP="009C5192">
            <w:pPr>
              <w:rPr>
                <w:rFonts w:ascii="Times New Roman" w:hAnsi="Times New Roman" w:cs="Times New Roman"/>
                <w:b/>
                <w:sz w:val="28"/>
                <w:szCs w:val="28"/>
              </w:rPr>
            </w:pPr>
            <w:r>
              <w:rPr>
                <w:rFonts w:ascii="Times New Roman" w:eastAsia="Times New Roman" w:hAnsi="Times New Roman" w:cs="Times New Roman"/>
                <w:b/>
                <w:color w:val="000000"/>
                <w:sz w:val="28"/>
                <w:szCs w:val="28"/>
                <w:lang w:eastAsia="sv-SE"/>
              </w:rPr>
              <w:t>Antal sökande individer forskningstid (FT)</w:t>
            </w:r>
          </w:p>
        </w:tc>
        <w:tc>
          <w:tcPr>
            <w:tcW w:w="567" w:type="dxa"/>
          </w:tcPr>
          <w:p w:rsidR="009D10BF" w:rsidRPr="00401350" w:rsidRDefault="009D10BF" w:rsidP="009C5192">
            <w:pPr>
              <w:rPr>
                <w:rFonts w:ascii="Times New Roman" w:hAnsi="Times New Roman" w:cs="Times New Roman"/>
                <w:b/>
                <w:sz w:val="28"/>
                <w:szCs w:val="28"/>
              </w:rPr>
            </w:pPr>
            <w:r w:rsidRPr="00401350">
              <w:rPr>
                <w:rFonts w:ascii="Times New Roman" w:eastAsia="Times New Roman" w:hAnsi="Times New Roman" w:cs="Times New Roman"/>
                <w:b/>
                <w:color w:val="000000"/>
                <w:sz w:val="28"/>
                <w:szCs w:val="28"/>
                <w:lang w:eastAsia="sv-SE"/>
              </w:rPr>
              <w:t xml:space="preserve">    </w:t>
            </w:r>
            <w:r w:rsidRPr="009C5192">
              <w:rPr>
                <w:rFonts w:ascii="Times New Roman" w:eastAsia="Times New Roman" w:hAnsi="Times New Roman" w:cs="Times New Roman"/>
                <w:b/>
                <w:color w:val="000000"/>
                <w:sz w:val="28"/>
                <w:szCs w:val="28"/>
                <w:lang w:eastAsia="sv-SE"/>
              </w:rPr>
              <w:t>46</w:t>
            </w:r>
          </w:p>
        </w:tc>
        <w:tc>
          <w:tcPr>
            <w:tcW w:w="3686" w:type="dxa"/>
          </w:tcPr>
          <w:p w:rsidR="009D10BF" w:rsidRPr="00401350" w:rsidRDefault="009D10BF" w:rsidP="009C5192">
            <w:pPr>
              <w:rPr>
                <w:rFonts w:ascii="Times New Roman" w:hAnsi="Times New Roman" w:cs="Times New Roman"/>
                <w:b/>
                <w:sz w:val="28"/>
                <w:szCs w:val="28"/>
              </w:rPr>
            </w:pPr>
            <w:r w:rsidRPr="009C5192">
              <w:rPr>
                <w:rFonts w:ascii="Times New Roman" w:eastAsia="Times New Roman" w:hAnsi="Times New Roman" w:cs="Times New Roman"/>
                <w:b/>
                <w:color w:val="000000"/>
                <w:sz w:val="28"/>
                <w:szCs w:val="28"/>
                <w:lang w:eastAsia="sv-SE"/>
              </w:rPr>
              <w:t>Antal sökande individer PD/dok</w:t>
            </w:r>
          </w:p>
        </w:tc>
        <w:tc>
          <w:tcPr>
            <w:tcW w:w="708" w:type="dxa"/>
            <w:vAlign w:val="bottom"/>
          </w:tcPr>
          <w:p w:rsidR="009D10BF" w:rsidRPr="009C5192" w:rsidRDefault="009D10BF" w:rsidP="008B1E81">
            <w:pPr>
              <w:jc w:val="right"/>
              <w:rPr>
                <w:rFonts w:ascii="Times New Roman" w:eastAsia="Times New Roman" w:hAnsi="Times New Roman" w:cs="Times New Roman"/>
                <w:b/>
                <w:color w:val="000000"/>
                <w:sz w:val="28"/>
                <w:szCs w:val="28"/>
                <w:lang w:eastAsia="sv-SE"/>
              </w:rPr>
            </w:pPr>
            <w:r w:rsidRPr="009C5192">
              <w:rPr>
                <w:rFonts w:ascii="Times New Roman" w:eastAsia="Times New Roman" w:hAnsi="Times New Roman" w:cs="Times New Roman"/>
                <w:b/>
                <w:color w:val="000000"/>
                <w:sz w:val="28"/>
                <w:szCs w:val="28"/>
                <w:lang w:eastAsia="sv-SE"/>
              </w:rPr>
              <w:t>41</w:t>
            </w: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p>
        </w:tc>
        <w:tc>
          <w:tcPr>
            <w:tcW w:w="3686"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Erhållit FT 2 gånger</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8</w:t>
            </w:r>
          </w:p>
        </w:tc>
        <w:tc>
          <w:tcPr>
            <w:tcW w:w="3686"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Erhållit PD/dok fyra gånger</w:t>
            </w:r>
          </w:p>
        </w:tc>
        <w:tc>
          <w:tcPr>
            <w:tcW w:w="708" w:type="dxa"/>
          </w:tcPr>
          <w:p w:rsidR="009D10BF" w:rsidRPr="009D10BF" w:rsidRDefault="009D10BF" w:rsidP="009C5192">
            <w:pPr>
              <w:rPr>
                <w:rFonts w:ascii="Times New Roman" w:hAnsi="Times New Roman" w:cs="Times New Roman"/>
                <w:sz w:val="24"/>
                <w:szCs w:val="24"/>
              </w:rPr>
            </w:pPr>
            <w:r w:rsidRPr="009D10BF">
              <w:rPr>
                <w:rFonts w:ascii="Times New Roman" w:eastAsia="Times New Roman" w:hAnsi="Times New Roman" w:cs="Times New Roman"/>
                <w:color w:val="000000"/>
                <w:sz w:val="24"/>
                <w:szCs w:val="24"/>
                <w:lang w:eastAsia="sv-SE"/>
              </w:rPr>
              <w:t xml:space="preserve">      </w:t>
            </w:r>
            <w:r w:rsidRPr="009C5192">
              <w:rPr>
                <w:rFonts w:ascii="Times New Roman" w:eastAsia="Times New Roman" w:hAnsi="Times New Roman" w:cs="Times New Roman"/>
                <w:color w:val="000000"/>
                <w:sz w:val="24"/>
                <w:szCs w:val="24"/>
                <w:lang w:eastAsia="sv-SE"/>
              </w:rPr>
              <w:t>1</w:t>
            </w: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Erhållit FT 1 gång</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15</w:t>
            </w:r>
          </w:p>
        </w:tc>
        <w:tc>
          <w:tcPr>
            <w:tcW w:w="3686"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Erhållit PD/dok tre gånger</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5</w:t>
            </w: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Avslag en gång</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16</w:t>
            </w:r>
          </w:p>
        </w:tc>
        <w:tc>
          <w:tcPr>
            <w:tcW w:w="3686"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Erhållit PD/dok två gånger</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5</w:t>
            </w: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Avslag två gånger</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11</w:t>
            </w:r>
          </w:p>
        </w:tc>
        <w:tc>
          <w:tcPr>
            <w:tcW w:w="3686"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Erhållit PD/dok en gång</w:t>
            </w:r>
          </w:p>
        </w:tc>
        <w:tc>
          <w:tcPr>
            <w:tcW w:w="708" w:type="dxa"/>
          </w:tcPr>
          <w:p w:rsidR="009D10BF" w:rsidRPr="009D10BF" w:rsidRDefault="009D10BF" w:rsidP="009C5192">
            <w:pPr>
              <w:rPr>
                <w:rFonts w:ascii="Times New Roman" w:hAnsi="Times New Roman" w:cs="Times New Roman"/>
                <w:sz w:val="24"/>
                <w:szCs w:val="24"/>
              </w:rPr>
            </w:pPr>
            <w:r w:rsidRPr="009D10BF">
              <w:rPr>
                <w:rFonts w:ascii="Times New Roman" w:eastAsia="Times New Roman" w:hAnsi="Times New Roman" w:cs="Times New Roman"/>
                <w:color w:val="000000"/>
                <w:sz w:val="24"/>
                <w:szCs w:val="24"/>
                <w:lang w:eastAsia="sv-SE"/>
              </w:rPr>
              <w:t xml:space="preserve">      </w:t>
            </w:r>
            <w:r w:rsidRPr="009C5192">
              <w:rPr>
                <w:rFonts w:ascii="Times New Roman" w:eastAsia="Times New Roman" w:hAnsi="Times New Roman" w:cs="Times New Roman"/>
                <w:color w:val="000000"/>
                <w:sz w:val="24"/>
                <w:szCs w:val="24"/>
                <w:lang w:eastAsia="sv-SE"/>
              </w:rPr>
              <w:t>6</w:t>
            </w:r>
          </w:p>
        </w:tc>
      </w:tr>
      <w:tr w:rsidR="009D10BF" w:rsidRPr="009D10BF" w:rsidTr="00401350">
        <w:tc>
          <w:tcPr>
            <w:tcW w:w="3652"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Avslag tre gånger</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3</w:t>
            </w:r>
          </w:p>
        </w:tc>
        <w:tc>
          <w:tcPr>
            <w:tcW w:w="3686"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Avslag en gång</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19</w:t>
            </w:r>
          </w:p>
        </w:tc>
      </w:tr>
      <w:tr w:rsidR="009D10BF" w:rsidRPr="009D10BF" w:rsidTr="00401350">
        <w:tc>
          <w:tcPr>
            <w:tcW w:w="3652"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Avslag fyra gånger</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w:t>
            </w:r>
          </w:p>
        </w:tc>
        <w:tc>
          <w:tcPr>
            <w:tcW w:w="3686"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Avslag två gånger</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7</w:t>
            </w:r>
          </w:p>
        </w:tc>
      </w:tr>
      <w:tr w:rsidR="009D10BF" w:rsidRPr="009D10BF" w:rsidTr="00401350">
        <w:tc>
          <w:tcPr>
            <w:tcW w:w="3652" w:type="dxa"/>
            <w:vAlign w:val="bottom"/>
          </w:tcPr>
          <w:p w:rsidR="009D10BF" w:rsidRPr="009C5192" w:rsidRDefault="009D10BF" w:rsidP="008B1E81">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Aldrig erhållit FT</w:t>
            </w:r>
          </w:p>
        </w:tc>
        <w:tc>
          <w:tcPr>
            <w:tcW w:w="567"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23</w:t>
            </w:r>
          </w:p>
        </w:tc>
        <w:tc>
          <w:tcPr>
            <w:tcW w:w="3686" w:type="dxa"/>
          </w:tcPr>
          <w:p w:rsidR="009D10BF" w:rsidRPr="009D10BF" w:rsidRDefault="009D10BF" w:rsidP="009C5192">
            <w:pPr>
              <w:rPr>
                <w:rFonts w:ascii="Times New Roman" w:hAnsi="Times New Roman" w:cs="Times New Roman"/>
                <w:sz w:val="24"/>
                <w:szCs w:val="24"/>
              </w:rPr>
            </w:pPr>
            <w:r w:rsidRPr="009C5192">
              <w:rPr>
                <w:rFonts w:ascii="Times New Roman" w:eastAsia="Times New Roman" w:hAnsi="Times New Roman" w:cs="Times New Roman"/>
                <w:color w:val="000000"/>
                <w:sz w:val="24"/>
                <w:szCs w:val="24"/>
                <w:lang w:eastAsia="sv-SE"/>
              </w:rPr>
              <w:t>Avslag tre gånger</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5</w:t>
            </w:r>
          </w:p>
        </w:tc>
      </w:tr>
      <w:tr w:rsidR="009D10BF" w:rsidRPr="009D10BF" w:rsidTr="00401350">
        <w:tc>
          <w:tcPr>
            <w:tcW w:w="3652" w:type="dxa"/>
          </w:tcPr>
          <w:p w:rsidR="009D10BF" w:rsidRPr="009D10BF" w:rsidRDefault="009D10BF" w:rsidP="009C5192">
            <w:pPr>
              <w:rPr>
                <w:rFonts w:ascii="Times New Roman" w:hAnsi="Times New Roman" w:cs="Times New Roman"/>
                <w:sz w:val="24"/>
                <w:szCs w:val="24"/>
              </w:rPr>
            </w:pPr>
          </w:p>
        </w:tc>
        <w:tc>
          <w:tcPr>
            <w:tcW w:w="567" w:type="dxa"/>
          </w:tcPr>
          <w:p w:rsidR="009D10BF" w:rsidRPr="009D10BF" w:rsidRDefault="009D10BF" w:rsidP="009C5192">
            <w:pPr>
              <w:rPr>
                <w:rFonts w:ascii="Times New Roman" w:hAnsi="Times New Roman" w:cs="Times New Roman"/>
                <w:sz w:val="24"/>
                <w:szCs w:val="24"/>
              </w:rPr>
            </w:pPr>
          </w:p>
        </w:tc>
        <w:tc>
          <w:tcPr>
            <w:tcW w:w="3686" w:type="dxa"/>
          </w:tcPr>
          <w:p w:rsidR="009D10BF" w:rsidRPr="009D10BF" w:rsidRDefault="00401350" w:rsidP="009C5192">
            <w:pPr>
              <w:rPr>
                <w:rFonts w:ascii="Times New Roman" w:hAnsi="Times New Roman" w:cs="Times New Roman"/>
                <w:sz w:val="24"/>
                <w:szCs w:val="24"/>
              </w:rPr>
            </w:pPr>
            <w:r>
              <w:rPr>
                <w:rFonts w:ascii="Times New Roman" w:eastAsia="Times New Roman" w:hAnsi="Times New Roman" w:cs="Times New Roman"/>
                <w:color w:val="000000"/>
                <w:sz w:val="24"/>
                <w:szCs w:val="24"/>
                <w:lang w:eastAsia="sv-SE"/>
              </w:rPr>
              <w:t>Avs</w:t>
            </w:r>
            <w:r w:rsidR="009D10BF" w:rsidRPr="009C5192">
              <w:rPr>
                <w:rFonts w:ascii="Times New Roman" w:eastAsia="Times New Roman" w:hAnsi="Times New Roman" w:cs="Times New Roman"/>
                <w:color w:val="000000"/>
                <w:sz w:val="24"/>
                <w:szCs w:val="24"/>
                <w:lang w:eastAsia="sv-SE"/>
              </w:rPr>
              <w:t>l</w:t>
            </w:r>
            <w:r>
              <w:rPr>
                <w:rFonts w:ascii="Times New Roman" w:eastAsia="Times New Roman" w:hAnsi="Times New Roman" w:cs="Times New Roman"/>
                <w:color w:val="000000"/>
                <w:sz w:val="24"/>
                <w:szCs w:val="24"/>
                <w:lang w:eastAsia="sv-SE"/>
              </w:rPr>
              <w:t>a</w:t>
            </w:r>
            <w:r w:rsidR="009D10BF" w:rsidRPr="009C5192">
              <w:rPr>
                <w:rFonts w:ascii="Times New Roman" w:eastAsia="Times New Roman" w:hAnsi="Times New Roman" w:cs="Times New Roman"/>
                <w:color w:val="000000"/>
                <w:sz w:val="24"/>
                <w:szCs w:val="24"/>
                <w:lang w:eastAsia="sv-SE"/>
              </w:rPr>
              <w:t>g fyra gånger eller fler</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1</w:t>
            </w:r>
          </w:p>
        </w:tc>
      </w:tr>
      <w:tr w:rsidR="009D10BF" w:rsidRPr="009D10BF" w:rsidTr="00401350">
        <w:tc>
          <w:tcPr>
            <w:tcW w:w="3652" w:type="dxa"/>
          </w:tcPr>
          <w:p w:rsidR="009D10BF" w:rsidRPr="009D10BF" w:rsidRDefault="009D10BF" w:rsidP="009C5192">
            <w:pPr>
              <w:rPr>
                <w:rFonts w:ascii="Times New Roman" w:hAnsi="Times New Roman" w:cs="Times New Roman"/>
                <w:sz w:val="24"/>
                <w:szCs w:val="24"/>
              </w:rPr>
            </w:pPr>
          </w:p>
        </w:tc>
        <w:tc>
          <w:tcPr>
            <w:tcW w:w="567" w:type="dxa"/>
          </w:tcPr>
          <w:p w:rsidR="009D10BF" w:rsidRPr="009D10BF" w:rsidRDefault="009D10BF" w:rsidP="009C5192">
            <w:pPr>
              <w:rPr>
                <w:rFonts w:ascii="Times New Roman" w:hAnsi="Times New Roman" w:cs="Times New Roman"/>
                <w:sz w:val="24"/>
                <w:szCs w:val="24"/>
              </w:rPr>
            </w:pPr>
          </w:p>
        </w:tc>
        <w:tc>
          <w:tcPr>
            <w:tcW w:w="3686" w:type="dxa"/>
          </w:tcPr>
          <w:p w:rsidR="009D10BF" w:rsidRPr="009C5192" w:rsidRDefault="009D10BF" w:rsidP="009C5192">
            <w:pPr>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Aldrig erhållit PD/dok</w:t>
            </w:r>
          </w:p>
        </w:tc>
        <w:tc>
          <w:tcPr>
            <w:tcW w:w="708" w:type="dxa"/>
            <w:vAlign w:val="bottom"/>
          </w:tcPr>
          <w:p w:rsidR="009D10BF" w:rsidRPr="009C5192" w:rsidRDefault="009D10BF" w:rsidP="008B1E81">
            <w:pPr>
              <w:jc w:val="right"/>
              <w:rPr>
                <w:rFonts w:ascii="Times New Roman" w:eastAsia="Times New Roman" w:hAnsi="Times New Roman" w:cs="Times New Roman"/>
                <w:color w:val="000000"/>
                <w:sz w:val="24"/>
                <w:szCs w:val="24"/>
                <w:lang w:eastAsia="sv-SE"/>
              </w:rPr>
            </w:pPr>
            <w:r w:rsidRPr="009C5192">
              <w:rPr>
                <w:rFonts w:ascii="Times New Roman" w:eastAsia="Times New Roman" w:hAnsi="Times New Roman" w:cs="Times New Roman"/>
                <w:color w:val="000000"/>
                <w:sz w:val="24"/>
                <w:szCs w:val="24"/>
                <w:lang w:eastAsia="sv-SE"/>
              </w:rPr>
              <w:t>25</w:t>
            </w:r>
          </w:p>
        </w:tc>
      </w:tr>
    </w:tbl>
    <w:p w:rsidR="009E0C68" w:rsidRDefault="009E0C68" w:rsidP="004111DB">
      <w:pPr>
        <w:rPr>
          <w:rFonts w:ascii="Times New Roman" w:hAnsi="Times New Roman" w:cs="Times New Roman"/>
          <w:sz w:val="24"/>
          <w:szCs w:val="24"/>
        </w:rPr>
      </w:pPr>
    </w:p>
    <w:p w:rsidR="001A6D53" w:rsidRDefault="00401350" w:rsidP="004111DB">
      <w:pPr>
        <w:rPr>
          <w:rFonts w:ascii="Times New Roman" w:hAnsi="Times New Roman" w:cs="Times New Roman"/>
          <w:sz w:val="24"/>
          <w:szCs w:val="24"/>
        </w:rPr>
      </w:pPr>
      <w:r>
        <w:rPr>
          <w:rFonts w:ascii="Times New Roman" w:hAnsi="Times New Roman" w:cs="Times New Roman"/>
          <w:sz w:val="24"/>
          <w:szCs w:val="24"/>
        </w:rPr>
        <w:t xml:space="preserve">Det framgår ovan att 23 personer vid minst ett tillfälle </w:t>
      </w:r>
      <w:r w:rsidR="00C469AD">
        <w:rPr>
          <w:rFonts w:ascii="Times New Roman" w:hAnsi="Times New Roman" w:cs="Times New Roman"/>
          <w:sz w:val="24"/>
          <w:szCs w:val="24"/>
        </w:rPr>
        <w:t xml:space="preserve">har </w:t>
      </w:r>
      <w:r>
        <w:rPr>
          <w:rFonts w:ascii="Times New Roman" w:hAnsi="Times New Roman" w:cs="Times New Roman"/>
          <w:sz w:val="24"/>
          <w:szCs w:val="24"/>
        </w:rPr>
        <w:t xml:space="preserve">erhållit medel för forskningstid. Det är lika många som aldrig har erhållit medel. När det gäller ansökningar till postdoktorer </w:t>
      </w:r>
      <w:r>
        <w:rPr>
          <w:rFonts w:ascii="Times New Roman" w:hAnsi="Times New Roman" w:cs="Times New Roman"/>
          <w:sz w:val="24"/>
          <w:szCs w:val="24"/>
        </w:rPr>
        <w:lastRenderedPageBreak/>
        <w:t xml:space="preserve">och doktorander är det 17 individer som fått ansökan beviljad medan 25 personer har aldrig fått medel till postdoktorer/doktorander. Slår man samman de båda sökandegrupper finner man att 30 personer aldrig har erhållit medel medan 35 har gjort det. </w:t>
      </w:r>
    </w:p>
    <w:p w:rsidR="001A6D53" w:rsidRDefault="001A6D53" w:rsidP="004111DB">
      <w:pPr>
        <w:rPr>
          <w:rFonts w:ascii="Times New Roman" w:hAnsi="Times New Roman" w:cs="Times New Roman"/>
          <w:sz w:val="24"/>
          <w:szCs w:val="24"/>
        </w:rPr>
      </w:pPr>
      <w:r>
        <w:rPr>
          <w:rFonts w:ascii="Times New Roman" w:hAnsi="Times New Roman" w:cs="Times New Roman"/>
          <w:sz w:val="24"/>
          <w:szCs w:val="24"/>
        </w:rPr>
        <w:t>I figur 2 och 3 framgår det hur stor andel av de sökande som har varit män eller kvinnor. Andelen</w:t>
      </w:r>
      <w:r w:rsidR="001A76C1">
        <w:rPr>
          <w:rFonts w:ascii="Times New Roman" w:hAnsi="Times New Roman" w:cs="Times New Roman"/>
          <w:sz w:val="24"/>
          <w:szCs w:val="24"/>
        </w:rPr>
        <w:t xml:space="preserve"> ansökande</w:t>
      </w:r>
      <w:r>
        <w:rPr>
          <w:rFonts w:ascii="Times New Roman" w:hAnsi="Times New Roman" w:cs="Times New Roman"/>
          <w:sz w:val="24"/>
          <w:szCs w:val="24"/>
        </w:rPr>
        <w:t xml:space="preserve"> kvinnor i förhållande till män </w:t>
      </w:r>
      <w:r w:rsidR="001A76C1">
        <w:rPr>
          <w:rFonts w:ascii="Times New Roman" w:hAnsi="Times New Roman" w:cs="Times New Roman"/>
          <w:sz w:val="24"/>
          <w:szCs w:val="24"/>
        </w:rPr>
        <w:t xml:space="preserve">har generellt varit lägre vid alla ansökningstillfällen. Vid det senaste ansökningstillfället för forskningstid skillnaderna dock försvunnit. Troligen avspelar skillnaderna för sökande för forskningstid den rådande könsfördelningen bland fakultetens anställda.    </w:t>
      </w:r>
      <w:r>
        <w:rPr>
          <w:rFonts w:ascii="Times New Roman" w:hAnsi="Times New Roman" w:cs="Times New Roman"/>
          <w:sz w:val="24"/>
          <w:szCs w:val="24"/>
        </w:rPr>
        <w:t xml:space="preserve">  </w:t>
      </w:r>
    </w:p>
    <w:p w:rsidR="00401350" w:rsidRDefault="001A6D53" w:rsidP="001A76C1">
      <w:pPr>
        <w:rPr>
          <w:rFonts w:ascii="Times New Roman" w:hAnsi="Times New Roman" w:cs="Times New Roman"/>
          <w:sz w:val="24"/>
          <w:szCs w:val="24"/>
        </w:rPr>
      </w:pPr>
      <w:r>
        <w:rPr>
          <w:noProof/>
          <w:lang w:eastAsia="sv-SE"/>
        </w:rPr>
        <w:drawing>
          <wp:inline distT="0" distB="0" distL="0" distR="0" wp14:anchorId="56302BA0" wp14:editId="403016FF">
            <wp:extent cx="5619750" cy="3305175"/>
            <wp:effectExtent l="0" t="0" r="19050"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01350">
        <w:rPr>
          <w:rFonts w:ascii="Times New Roman" w:hAnsi="Times New Roman" w:cs="Times New Roman"/>
          <w:sz w:val="24"/>
          <w:szCs w:val="24"/>
        </w:rPr>
        <w:t xml:space="preserve">    </w:t>
      </w:r>
    </w:p>
    <w:p w:rsidR="001A76C1" w:rsidRPr="00C469AD" w:rsidRDefault="001A76C1" w:rsidP="001A76C1">
      <w:pPr>
        <w:rPr>
          <w:rFonts w:ascii="Times New Roman" w:hAnsi="Times New Roman" w:cs="Times New Roman"/>
          <w:sz w:val="24"/>
          <w:szCs w:val="24"/>
        </w:rPr>
      </w:pPr>
      <w:r w:rsidRPr="00C469AD">
        <w:rPr>
          <w:rFonts w:ascii="Times New Roman" w:hAnsi="Times New Roman" w:cs="Times New Roman"/>
          <w:sz w:val="24"/>
          <w:szCs w:val="24"/>
        </w:rPr>
        <w:t xml:space="preserve">När det gäller könsfördelningen bland sökande till postdoktor/doktorand är skillnaderna påtagligt större och tycks öka över tid. Vid senaste ansökningsomgången var knappt 20 procent av de sökande </w:t>
      </w:r>
      <w:proofErr w:type="gramStart"/>
      <w:r w:rsidRPr="00C469AD">
        <w:rPr>
          <w:rFonts w:ascii="Times New Roman" w:hAnsi="Times New Roman" w:cs="Times New Roman"/>
          <w:sz w:val="24"/>
          <w:szCs w:val="24"/>
        </w:rPr>
        <w:t>kvinnor</w:t>
      </w:r>
      <w:proofErr w:type="gramEnd"/>
      <w:r w:rsidRPr="00C469AD">
        <w:rPr>
          <w:rFonts w:ascii="Times New Roman" w:hAnsi="Times New Roman" w:cs="Times New Roman"/>
          <w:sz w:val="24"/>
          <w:szCs w:val="24"/>
        </w:rPr>
        <w:t xml:space="preserve">. Det rör sig dock om ett ganska litet antal sökande totalt, vilket gör att tillfälligheter har stor betydelse. Dessutom är sökande till postdoktor/doktorand i högre utsträckning professorsmeriterade, vilket i sin tur förklarar den låga andelen kvinnliga sökande.  </w:t>
      </w:r>
    </w:p>
    <w:p w:rsidR="001A76C1" w:rsidRPr="001A76C1" w:rsidRDefault="001A76C1" w:rsidP="001A76C1">
      <w:r>
        <w:rPr>
          <w:noProof/>
          <w:lang w:eastAsia="sv-SE"/>
        </w:rPr>
        <w:lastRenderedPageBreak/>
        <w:drawing>
          <wp:inline distT="0" distB="0" distL="0" distR="0" wp14:anchorId="2610C0C6" wp14:editId="4978314A">
            <wp:extent cx="5619750" cy="348615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9AD" w:rsidRDefault="00C469AD" w:rsidP="00DA4848">
      <w:pPr>
        <w:pStyle w:val="Rubrik4"/>
      </w:pPr>
    </w:p>
    <w:p w:rsidR="00401350" w:rsidRDefault="009C2339" w:rsidP="00DA4848">
      <w:pPr>
        <w:pStyle w:val="Rubrik4"/>
      </w:pPr>
      <w:r>
        <w:t>4.2 Sökande</w:t>
      </w:r>
      <w:r w:rsidR="00196A7D">
        <w:t>frekvens</w:t>
      </w:r>
      <w:r w:rsidR="00025D89">
        <w:t>, könsfördelning</w:t>
      </w:r>
      <w:r>
        <w:t xml:space="preserve"> och beviljade ansökningar</w:t>
      </w:r>
    </w:p>
    <w:p w:rsidR="009C2339" w:rsidRPr="00C469AD" w:rsidRDefault="009C2339" w:rsidP="009C2339">
      <w:pPr>
        <w:rPr>
          <w:rFonts w:ascii="Times New Roman" w:hAnsi="Times New Roman" w:cs="Times New Roman"/>
          <w:sz w:val="24"/>
          <w:szCs w:val="24"/>
        </w:rPr>
      </w:pPr>
      <w:r w:rsidRPr="00C469AD">
        <w:rPr>
          <w:rFonts w:ascii="Times New Roman" w:hAnsi="Times New Roman" w:cs="Times New Roman"/>
          <w:sz w:val="24"/>
          <w:szCs w:val="24"/>
        </w:rPr>
        <w:t>I figur 4 och 5 presenteras antalet sökande och antalet beviljade medel fördelade efter kön.</w:t>
      </w:r>
    </w:p>
    <w:p w:rsidR="009C2339" w:rsidRDefault="009C2339" w:rsidP="009C2339">
      <w:r>
        <w:rPr>
          <w:noProof/>
          <w:lang w:eastAsia="sv-SE"/>
        </w:rPr>
        <w:drawing>
          <wp:inline distT="0" distB="0" distL="0" distR="0" wp14:anchorId="7090DBA7" wp14:editId="54EE81F3">
            <wp:extent cx="5772150" cy="3238500"/>
            <wp:effectExtent l="0" t="0" r="1905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9C2339" w:rsidRDefault="009C2339" w:rsidP="009C2339">
      <w:r w:rsidRPr="00C469AD">
        <w:rPr>
          <w:rFonts w:ascii="Times New Roman" w:hAnsi="Times New Roman" w:cs="Times New Roman"/>
          <w:sz w:val="24"/>
          <w:szCs w:val="24"/>
        </w:rPr>
        <w:t xml:space="preserve">Här kan det för noteras att antalet sökande successivt sjunkit. Det var nästan dubbelt så många sökande första ansökningsomgången som det var vid det senaste tillfället. Andelen beviljade medel av de sökande har också sjunkit. Vid andra ansökningstillfället beviljades knappt hälften av ansökningarna, medan vid senaste ansökningstillfället drygt var tredje. Generellt </w:t>
      </w:r>
      <w:r w:rsidRPr="00C469AD">
        <w:rPr>
          <w:rFonts w:ascii="Times New Roman" w:hAnsi="Times New Roman" w:cs="Times New Roman"/>
          <w:sz w:val="24"/>
          <w:szCs w:val="24"/>
        </w:rPr>
        <w:lastRenderedPageBreak/>
        <w:t>sett har män varit</w:t>
      </w:r>
      <w:r>
        <w:t xml:space="preserve"> mer lyckosamma än vad kvinnor har. Vid det senaste ansökningstillfället var dock fyra av fem beviljade ansökningar från kvinnliga sökande. </w:t>
      </w:r>
    </w:p>
    <w:p w:rsidR="009C2339" w:rsidRPr="009C2339" w:rsidRDefault="009C2339" w:rsidP="009C2339">
      <w:r>
        <w:rPr>
          <w:noProof/>
          <w:lang w:eastAsia="sv-SE"/>
        </w:rPr>
        <w:drawing>
          <wp:inline distT="0" distB="0" distL="0" distR="0" wp14:anchorId="45C3BC61" wp14:editId="10CDA856">
            <wp:extent cx="5772150" cy="3286125"/>
            <wp:effectExtent l="0" t="0" r="19050"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A7D" w:rsidRPr="00C469AD" w:rsidRDefault="009C2339" w:rsidP="009C2339">
      <w:pPr>
        <w:rPr>
          <w:rFonts w:ascii="Times New Roman" w:hAnsi="Times New Roman" w:cs="Times New Roman"/>
          <w:sz w:val="24"/>
          <w:szCs w:val="24"/>
        </w:rPr>
      </w:pPr>
      <w:r w:rsidRPr="00C469AD">
        <w:rPr>
          <w:rFonts w:ascii="Times New Roman" w:hAnsi="Times New Roman" w:cs="Times New Roman"/>
          <w:sz w:val="24"/>
          <w:szCs w:val="24"/>
        </w:rPr>
        <w:t xml:space="preserve">När det gäller könsfördelning i lyckosamma ansökningar är inte mönstret lika uppenbart när det gäller ansökningar till postdoktor/doktorand. Generellt beviljas </w:t>
      </w:r>
      <w:r w:rsidR="00196A7D" w:rsidRPr="00C469AD">
        <w:rPr>
          <w:rFonts w:ascii="Times New Roman" w:hAnsi="Times New Roman" w:cs="Times New Roman"/>
          <w:sz w:val="24"/>
          <w:szCs w:val="24"/>
        </w:rPr>
        <w:t>fler ansökningar gjorda av män. Det är enbart det andra ansökningstillfället som bryter det mönstret. Sökandefrekvensen för dessa resursmedel tycks vara mer jämn än vad gäller ansökningsfrekvensen för forskningstid.</w:t>
      </w:r>
    </w:p>
    <w:p w:rsidR="000C024F" w:rsidRPr="00C469AD" w:rsidRDefault="00196A7D" w:rsidP="009C2339">
      <w:pPr>
        <w:rPr>
          <w:rFonts w:ascii="Times New Roman" w:hAnsi="Times New Roman" w:cs="Times New Roman"/>
          <w:sz w:val="24"/>
          <w:szCs w:val="24"/>
        </w:rPr>
      </w:pPr>
      <w:r w:rsidRPr="00C469AD">
        <w:rPr>
          <w:rFonts w:ascii="Times New Roman" w:hAnsi="Times New Roman" w:cs="Times New Roman"/>
          <w:sz w:val="24"/>
          <w:szCs w:val="24"/>
        </w:rPr>
        <w:t>Det finns dock andra faktorer än kön som är mer utslagsgivande för sannolikheten att få en ansökan beviljad. I en logisk binär regression där flera tänkbara</w:t>
      </w:r>
      <w:r w:rsidR="00C469AD" w:rsidRPr="00C469AD">
        <w:rPr>
          <w:rFonts w:ascii="Times New Roman" w:hAnsi="Times New Roman" w:cs="Times New Roman"/>
          <w:sz w:val="24"/>
          <w:szCs w:val="24"/>
        </w:rPr>
        <w:t xml:space="preserve"> faktorer bedömdes visade det si</w:t>
      </w:r>
      <w:r w:rsidRPr="00C469AD">
        <w:rPr>
          <w:rFonts w:ascii="Times New Roman" w:hAnsi="Times New Roman" w:cs="Times New Roman"/>
          <w:sz w:val="24"/>
          <w:szCs w:val="24"/>
        </w:rPr>
        <w:t>g att män har drygt tre gånger så stor sannolikhet att erhålla medel jämfört med kvinnor. Docenter har jämfört icke-docentmeriterade knappt fyra</w:t>
      </w:r>
      <w:r w:rsidR="000C024F" w:rsidRPr="00C469AD">
        <w:rPr>
          <w:rFonts w:ascii="Times New Roman" w:hAnsi="Times New Roman" w:cs="Times New Roman"/>
          <w:sz w:val="24"/>
          <w:szCs w:val="24"/>
        </w:rPr>
        <w:t xml:space="preserve"> gånger så stor sannolikhet att få ansökningar beviljade. </w:t>
      </w:r>
    </w:p>
    <w:p w:rsidR="009C2339" w:rsidRDefault="000C024F" w:rsidP="009C2339">
      <w:r>
        <w:rPr>
          <w:noProof/>
          <w:lang w:eastAsia="sv-SE"/>
        </w:rPr>
        <w:lastRenderedPageBreak/>
        <w:drawing>
          <wp:inline distT="0" distB="0" distL="0" distR="0" wp14:anchorId="460D3226" wp14:editId="3B8E465A">
            <wp:extent cx="5562600" cy="3643313"/>
            <wp:effectExtent l="0" t="0" r="19050" b="1460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196A7D">
        <w:t xml:space="preserve">     </w:t>
      </w:r>
    </w:p>
    <w:p w:rsidR="0024634D" w:rsidRPr="00C469AD" w:rsidRDefault="000C024F" w:rsidP="009C2339">
      <w:pPr>
        <w:rPr>
          <w:rFonts w:ascii="Times New Roman" w:hAnsi="Times New Roman" w:cs="Times New Roman"/>
          <w:sz w:val="24"/>
          <w:szCs w:val="24"/>
        </w:rPr>
      </w:pPr>
      <w:r w:rsidRPr="00C469AD">
        <w:rPr>
          <w:rFonts w:ascii="Times New Roman" w:hAnsi="Times New Roman" w:cs="Times New Roman"/>
          <w:sz w:val="24"/>
          <w:szCs w:val="24"/>
        </w:rPr>
        <w:t xml:space="preserve">Signifikansen är dessutom lägre när det gäller sambandet mellan docent och sannolikheten att få beviljade anslag, vilket betyder att tillförlitligheten när det gäller det sambandet är högre. Vidare har en professorsmeriterad två och en halv gånger så stor sannolikhet att få medel beviljade än en icke-professorsmeriterad. Däremot har jag inte funnit något statistiskt samband mellan ”akademisk ålder”, det vill säga antal år mellan disputation och ansökningstillfälle, och lyckosamma ansökningar. Delar man in akademiska ålder i grupper om fem år mellan disputation och ansökningstillfälle så tycks de som disputerade fem till nio år före ansökningstillfället har någon högre sannolikhet att vara lyckosamma vid ansökningar i förhållande till övriga. Däremot finns det inget statistiskt samband mellan att ha hög </w:t>
      </w:r>
      <w:r w:rsidR="0024634D" w:rsidRPr="00C469AD">
        <w:rPr>
          <w:rFonts w:ascii="Times New Roman" w:hAnsi="Times New Roman" w:cs="Times New Roman"/>
          <w:sz w:val="24"/>
          <w:szCs w:val="24"/>
        </w:rPr>
        <w:t>(&gt; 10 år)</w:t>
      </w:r>
      <w:r w:rsidR="008E355E">
        <w:rPr>
          <w:rFonts w:ascii="Times New Roman" w:hAnsi="Times New Roman" w:cs="Times New Roman"/>
          <w:sz w:val="24"/>
          <w:szCs w:val="24"/>
        </w:rPr>
        <w:t xml:space="preserve"> </w:t>
      </w:r>
      <w:r w:rsidRPr="00C469AD">
        <w:rPr>
          <w:rFonts w:ascii="Times New Roman" w:hAnsi="Times New Roman" w:cs="Times New Roman"/>
          <w:sz w:val="24"/>
          <w:szCs w:val="24"/>
        </w:rPr>
        <w:t xml:space="preserve">akademisk ålder och </w:t>
      </w:r>
      <w:r w:rsidR="0024634D" w:rsidRPr="00C469AD">
        <w:rPr>
          <w:rFonts w:ascii="Times New Roman" w:hAnsi="Times New Roman" w:cs="Times New Roman"/>
          <w:sz w:val="24"/>
          <w:szCs w:val="24"/>
        </w:rPr>
        <w:t>beviljade ansökningar. Det förefaller också naturligt att docent- och professorskompetens är mer betydelsefulla faktorer.</w:t>
      </w:r>
    </w:p>
    <w:p w:rsidR="000C024F" w:rsidRPr="00C469AD" w:rsidRDefault="0024634D" w:rsidP="009C2339">
      <w:pPr>
        <w:rPr>
          <w:rFonts w:ascii="Times New Roman" w:hAnsi="Times New Roman" w:cs="Times New Roman"/>
          <w:sz w:val="24"/>
          <w:szCs w:val="24"/>
        </w:rPr>
      </w:pPr>
      <w:r w:rsidRPr="00C469AD">
        <w:rPr>
          <w:rFonts w:ascii="Times New Roman" w:hAnsi="Times New Roman" w:cs="Times New Roman"/>
          <w:sz w:val="24"/>
          <w:szCs w:val="24"/>
        </w:rPr>
        <w:t xml:space="preserve">Sammanfattningsvis förefaller det som om kön har betydelse för utgången vid en ansökan, men att andra faktorer är mer betydelsefulla.  </w:t>
      </w:r>
      <w:r w:rsidR="000C024F" w:rsidRPr="00C469AD">
        <w:rPr>
          <w:rFonts w:ascii="Times New Roman" w:hAnsi="Times New Roman" w:cs="Times New Roman"/>
          <w:sz w:val="24"/>
          <w:szCs w:val="24"/>
        </w:rPr>
        <w:t xml:space="preserve">  </w:t>
      </w:r>
    </w:p>
    <w:p w:rsidR="000C024F" w:rsidRDefault="000C024F" w:rsidP="009E0C68">
      <w:pPr>
        <w:pStyle w:val="Rubrik2"/>
        <w:rPr>
          <w:rFonts w:ascii="Times New Roman" w:hAnsi="Times New Roman" w:cs="Times New Roman"/>
          <w:sz w:val="24"/>
          <w:szCs w:val="24"/>
        </w:rPr>
      </w:pPr>
      <w:r>
        <w:rPr>
          <w:noProof/>
          <w:lang w:eastAsia="sv-SE"/>
        </w:rPr>
        <w:lastRenderedPageBreak/>
        <w:drawing>
          <wp:inline distT="0" distB="0" distL="0" distR="0" wp14:anchorId="23665199" wp14:editId="3EAD4B4E">
            <wp:extent cx="5762625" cy="3457575"/>
            <wp:effectExtent l="0" t="0" r="9525"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634D" w:rsidRDefault="0024634D" w:rsidP="009E0C68">
      <w:pPr>
        <w:pStyle w:val="Rubrik2"/>
        <w:rPr>
          <w:rFonts w:ascii="Times New Roman" w:hAnsi="Times New Roman" w:cs="Times New Roman"/>
          <w:sz w:val="24"/>
          <w:szCs w:val="24"/>
        </w:rPr>
      </w:pPr>
    </w:p>
    <w:p w:rsidR="00025D89" w:rsidRDefault="00025D89" w:rsidP="00DA4848">
      <w:pPr>
        <w:pStyle w:val="Rubrik4"/>
      </w:pPr>
      <w:r>
        <w:t>4.3 Publikationsfrekvens och publikationssätt</w:t>
      </w:r>
    </w:p>
    <w:p w:rsidR="008E355E" w:rsidRDefault="00025D89" w:rsidP="00025D89">
      <w:pPr>
        <w:rPr>
          <w:rFonts w:ascii="Times New Roman" w:hAnsi="Times New Roman" w:cs="Times New Roman"/>
          <w:sz w:val="24"/>
          <w:szCs w:val="24"/>
        </w:rPr>
      </w:pPr>
      <w:r w:rsidRPr="00C469AD">
        <w:rPr>
          <w:rFonts w:ascii="Times New Roman" w:hAnsi="Times New Roman" w:cs="Times New Roman"/>
          <w:sz w:val="24"/>
          <w:szCs w:val="24"/>
        </w:rPr>
        <w:t>Enligt en genomgång av antalet forskningspublikationer som registrerats i DIVA så förefaller inte publikationsfrekvensen ha ökat. Tvärtom publicerades det fler forskningspublikationer 2005 (388 stycken) än vad det gjorde 2009 (283 stycken) och 2010. Detta mått synes dock inte vara särskilt tillförlitligt eftersom antalet anställda forskare på fakulteten påverkar resultatet. Även om man tar hänsyn till variationer när det gäller fakultetens storlek räknat till antal anställda vid olika tillfällen, blir inte resultatet tillförlitligt, eftersom icke-forskningsrelaterade arbetsuppgifter är fördelade olika mellan åren.</w:t>
      </w:r>
      <w:r w:rsidR="00C469AD">
        <w:rPr>
          <w:rStyle w:val="Fotnotsreferens"/>
          <w:rFonts w:ascii="Times New Roman" w:hAnsi="Times New Roman" w:cs="Times New Roman"/>
          <w:sz w:val="24"/>
          <w:szCs w:val="24"/>
        </w:rPr>
        <w:footnoteReference w:id="1"/>
      </w:r>
      <w:r w:rsidRPr="00C469AD">
        <w:rPr>
          <w:rFonts w:ascii="Times New Roman" w:hAnsi="Times New Roman" w:cs="Times New Roman"/>
          <w:sz w:val="24"/>
          <w:szCs w:val="24"/>
        </w:rPr>
        <w:t xml:space="preserve"> </w:t>
      </w:r>
      <w:r w:rsidR="00C469AD" w:rsidRPr="00C469AD">
        <w:rPr>
          <w:rFonts w:ascii="Times New Roman" w:hAnsi="Times New Roman" w:cs="Times New Roman"/>
          <w:sz w:val="24"/>
          <w:szCs w:val="24"/>
        </w:rPr>
        <w:t xml:space="preserve">Vidare skall det tilläggas att det finns brister i rutinerna på institutionerna när det gäller inrapportering i DIVA, vilket också påverkar resultaten. </w:t>
      </w:r>
    </w:p>
    <w:p w:rsidR="00C469AD" w:rsidRDefault="00C469AD" w:rsidP="00025D89">
      <w:pPr>
        <w:rPr>
          <w:rFonts w:ascii="Times New Roman" w:hAnsi="Times New Roman" w:cs="Times New Roman"/>
          <w:sz w:val="24"/>
          <w:szCs w:val="24"/>
        </w:rPr>
      </w:pPr>
      <w:r w:rsidRPr="00C469AD">
        <w:rPr>
          <w:rFonts w:ascii="Times New Roman" w:hAnsi="Times New Roman" w:cs="Times New Roman"/>
          <w:sz w:val="24"/>
          <w:szCs w:val="24"/>
        </w:rPr>
        <w:t xml:space="preserve">Enligt en </w:t>
      </w:r>
      <w:r w:rsidR="008E355E">
        <w:rPr>
          <w:rFonts w:ascii="Times New Roman" w:hAnsi="Times New Roman" w:cs="Times New Roman"/>
          <w:sz w:val="24"/>
          <w:szCs w:val="24"/>
        </w:rPr>
        <w:t>genomgång</w:t>
      </w:r>
      <w:r w:rsidRPr="00C469AD">
        <w:rPr>
          <w:rFonts w:ascii="Times New Roman" w:hAnsi="Times New Roman" w:cs="Times New Roman"/>
          <w:sz w:val="24"/>
          <w:szCs w:val="24"/>
        </w:rPr>
        <w:t xml:space="preserve"> av fraktionaliserade publikationer (</w:t>
      </w:r>
      <w:r w:rsidR="003F0F34">
        <w:rPr>
          <w:rFonts w:ascii="Times New Roman" w:hAnsi="Times New Roman" w:cs="Times New Roman"/>
          <w:sz w:val="24"/>
          <w:szCs w:val="24"/>
        </w:rPr>
        <w:t xml:space="preserve">gäller enbart </w:t>
      </w:r>
      <w:r w:rsidRPr="00C469AD">
        <w:rPr>
          <w:rFonts w:ascii="Times New Roman" w:hAnsi="Times New Roman" w:cs="Times New Roman"/>
          <w:sz w:val="24"/>
          <w:szCs w:val="24"/>
        </w:rPr>
        <w:t>böcker, bokkapitel och artiklar) som finns i DIVA mellan 2004–2009 så förefaller an</w:t>
      </w:r>
      <w:r w:rsidR="003F0F34">
        <w:rPr>
          <w:rFonts w:ascii="Times New Roman" w:hAnsi="Times New Roman" w:cs="Times New Roman"/>
          <w:sz w:val="24"/>
          <w:szCs w:val="24"/>
        </w:rPr>
        <w:t>talet</w:t>
      </w:r>
      <w:r w:rsidRPr="00C469AD">
        <w:rPr>
          <w:rFonts w:ascii="Times New Roman" w:hAnsi="Times New Roman" w:cs="Times New Roman"/>
          <w:sz w:val="24"/>
          <w:szCs w:val="24"/>
        </w:rPr>
        <w:t xml:space="preserve"> publikationer ha varit relativt konstant från </w:t>
      </w:r>
      <w:r>
        <w:rPr>
          <w:rFonts w:ascii="Times New Roman" w:hAnsi="Times New Roman" w:cs="Times New Roman"/>
          <w:sz w:val="24"/>
          <w:szCs w:val="24"/>
        </w:rPr>
        <w:t>2006</w:t>
      </w:r>
      <w:r w:rsidRPr="00C469AD">
        <w:rPr>
          <w:rFonts w:ascii="Times New Roman" w:hAnsi="Times New Roman" w:cs="Times New Roman"/>
          <w:sz w:val="24"/>
          <w:szCs w:val="24"/>
        </w:rPr>
        <w:t xml:space="preserve"> till </w:t>
      </w:r>
      <w:r>
        <w:rPr>
          <w:rFonts w:ascii="Times New Roman" w:hAnsi="Times New Roman" w:cs="Times New Roman"/>
          <w:sz w:val="24"/>
          <w:szCs w:val="24"/>
        </w:rPr>
        <w:t xml:space="preserve">och med </w:t>
      </w:r>
      <w:r w:rsidRPr="00C469AD">
        <w:rPr>
          <w:rFonts w:ascii="Times New Roman" w:hAnsi="Times New Roman" w:cs="Times New Roman"/>
          <w:sz w:val="24"/>
          <w:szCs w:val="24"/>
        </w:rPr>
        <w:t xml:space="preserve">2009. </w:t>
      </w:r>
      <w:r w:rsidR="003E22C3">
        <w:rPr>
          <w:rFonts w:ascii="Times New Roman" w:hAnsi="Times New Roman" w:cs="Times New Roman"/>
          <w:sz w:val="24"/>
          <w:szCs w:val="24"/>
        </w:rPr>
        <w:t>F</w:t>
      </w:r>
      <w:r w:rsidR="008E355E">
        <w:rPr>
          <w:rFonts w:ascii="Times New Roman" w:hAnsi="Times New Roman" w:cs="Times New Roman"/>
          <w:sz w:val="24"/>
          <w:szCs w:val="24"/>
        </w:rPr>
        <w:t>rån</w:t>
      </w:r>
      <w:r w:rsidR="008E355E" w:rsidRPr="00C469AD">
        <w:rPr>
          <w:rFonts w:ascii="Times New Roman" w:hAnsi="Times New Roman" w:cs="Times New Roman"/>
          <w:sz w:val="24"/>
          <w:szCs w:val="24"/>
        </w:rPr>
        <w:t xml:space="preserve"> humanistisk fakultet har det publicerats d</w:t>
      </w:r>
      <w:r w:rsidR="008E355E">
        <w:rPr>
          <w:rFonts w:ascii="Times New Roman" w:hAnsi="Times New Roman" w:cs="Times New Roman"/>
          <w:sz w:val="24"/>
          <w:szCs w:val="24"/>
        </w:rPr>
        <w:t xml:space="preserve">rygt 100 böcker, bokkapitel </w:t>
      </w:r>
      <w:r w:rsidR="003E22C3">
        <w:rPr>
          <w:rFonts w:ascii="Times New Roman" w:hAnsi="Times New Roman" w:cs="Times New Roman"/>
          <w:sz w:val="24"/>
          <w:szCs w:val="24"/>
        </w:rPr>
        <w:t>och</w:t>
      </w:r>
      <w:r w:rsidR="008E355E">
        <w:rPr>
          <w:rFonts w:ascii="Times New Roman" w:hAnsi="Times New Roman" w:cs="Times New Roman"/>
          <w:sz w:val="24"/>
          <w:szCs w:val="24"/>
        </w:rPr>
        <w:t xml:space="preserve"> artiklar</w:t>
      </w:r>
      <w:r w:rsidR="008E355E" w:rsidRPr="00C469AD">
        <w:rPr>
          <w:rFonts w:ascii="Times New Roman" w:hAnsi="Times New Roman" w:cs="Times New Roman"/>
          <w:sz w:val="24"/>
          <w:szCs w:val="24"/>
        </w:rPr>
        <w:t xml:space="preserve"> varje år.</w:t>
      </w:r>
      <w:r w:rsidR="008E355E">
        <w:rPr>
          <w:rFonts w:ascii="Times New Roman" w:hAnsi="Times New Roman" w:cs="Times New Roman"/>
          <w:sz w:val="24"/>
          <w:szCs w:val="24"/>
        </w:rPr>
        <w:t xml:space="preserve"> </w:t>
      </w:r>
      <w:r w:rsidR="003F0F34">
        <w:rPr>
          <w:rFonts w:ascii="Times New Roman" w:hAnsi="Times New Roman" w:cs="Times New Roman"/>
          <w:sz w:val="24"/>
          <w:szCs w:val="24"/>
        </w:rPr>
        <w:t>Däremot förefaller andelen peer review-granskade artiklar ha ökat från 27 procent 2005 till 38 procent 2008 och 2009.</w:t>
      </w:r>
      <w:r w:rsidR="00373198">
        <w:rPr>
          <w:rFonts w:ascii="Times New Roman" w:hAnsi="Times New Roman" w:cs="Times New Roman"/>
          <w:sz w:val="24"/>
          <w:szCs w:val="24"/>
        </w:rPr>
        <w:t xml:space="preserve"> Andelen publikationer skrivna på andra språk än svenska språket tycks dock variera år till år från en tredjedel till knappt hälften.</w:t>
      </w:r>
      <w:r w:rsidR="00373198" w:rsidRPr="00C469AD">
        <w:rPr>
          <w:rStyle w:val="Fotnotsreferens"/>
          <w:rFonts w:ascii="Times New Roman" w:hAnsi="Times New Roman" w:cs="Times New Roman"/>
          <w:sz w:val="24"/>
          <w:szCs w:val="24"/>
        </w:rPr>
        <w:footnoteReference w:id="2"/>
      </w:r>
      <w:r w:rsidRPr="00C469AD">
        <w:rPr>
          <w:rStyle w:val="Fotnotsreferens"/>
          <w:rFonts w:ascii="Times New Roman" w:hAnsi="Times New Roman" w:cs="Times New Roman"/>
          <w:sz w:val="24"/>
          <w:szCs w:val="24"/>
        </w:rPr>
        <w:t xml:space="preserve"> </w:t>
      </w:r>
    </w:p>
    <w:p w:rsidR="00173066" w:rsidRPr="00C469AD" w:rsidRDefault="00025D89" w:rsidP="00025D89">
      <w:pPr>
        <w:rPr>
          <w:rFonts w:ascii="Times New Roman" w:hAnsi="Times New Roman" w:cs="Times New Roman"/>
          <w:sz w:val="24"/>
          <w:szCs w:val="24"/>
        </w:rPr>
      </w:pPr>
      <w:r w:rsidRPr="00C469AD">
        <w:rPr>
          <w:rFonts w:ascii="Times New Roman" w:hAnsi="Times New Roman" w:cs="Times New Roman"/>
          <w:sz w:val="24"/>
          <w:szCs w:val="24"/>
        </w:rPr>
        <w:lastRenderedPageBreak/>
        <w:t>Om man istället undersöker den grupp som ansökt om kvalitetsbaserade forskningsmedel så tyder det på att publikationsfrekvensen har ökat något.</w:t>
      </w:r>
      <w:r w:rsidR="00C469AD" w:rsidRPr="00C469AD">
        <w:rPr>
          <w:rFonts w:ascii="Times New Roman" w:hAnsi="Times New Roman" w:cs="Times New Roman"/>
          <w:sz w:val="24"/>
          <w:szCs w:val="24"/>
        </w:rPr>
        <w:t xml:space="preserve"> </w:t>
      </w:r>
      <w:r w:rsidR="00173066" w:rsidRPr="00C469AD">
        <w:rPr>
          <w:rFonts w:ascii="Times New Roman" w:hAnsi="Times New Roman" w:cs="Times New Roman"/>
          <w:sz w:val="24"/>
          <w:szCs w:val="24"/>
        </w:rPr>
        <w:t>Man kan också notera att skillnaderna mellan de som erhåller medel och de som inte erhåller medel har ökat över tid. Detta är särskilt tydligt när det gäller ansökande till forskningstid. (se figur 8 nedan). När det gäller sökande till postdoktor/doktorand är t</w:t>
      </w:r>
      <w:r w:rsidR="000F4BB6">
        <w:rPr>
          <w:rFonts w:ascii="Times New Roman" w:hAnsi="Times New Roman" w:cs="Times New Roman"/>
          <w:sz w:val="24"/>
          <w:szCs w:val="24"/>
        </w:rPr>
        <w:t>r</w:t>
      </w:r>
      <w:r w:rsidR="00173066" w:rsidRPr="00C469AD">
        <w:rPr>
          <w:rFonts w:ascii="Times New Roman" w:hAnsi="Times New Roman" w:cs="Times New Roman"/>
          <w:sz w:val="24"/>
          <w:szCs w:val="24"/>
        </w:rPr>
        <w:t>end</w:t>
      </w:r>
      <w:r w:rsidR="000F4BB6">
        <w:rPr>
          <w:rFonts w:ascii="Times New Roman" w:hAnsi="Times New Roman" w:cs="Times New Roman"/>
          <w:sz w:val="24"/>
          <w:szCs w:val="24"/>
        </w:rPr>
        <w:t>en</w:t>
      </w:r>
      <w:r w:rsidR="00173066" w:rsidRPr="00C469AD">
        <w:rPr>
          <w:rFonts w:ascii="Times New Roman" w:hAnsi="Times New Roman" w:cs="Times New Roman"/>
          <w:sz w:val="24"/>
          <w:szCs w:val="24"/>
        </w:rPr>
        <w:t xml:space="preserve"> inte lika tydlig. Där förefaller större variationer förekomma mellan olika ansökningstillfällen. Det kan i sin tur förklaras genom att ett mindre antal</w:t>
      </w:r>
      <w:r w:rsidR="00E70E3A" w:rsidRPr="00C469AD">
        <w:rPr>
          <w:rFonts w:ascii="Times New Roman" w:hAnsi="Times New Roman" w:cs="Times New Roman"/>
          <w:sz w:val="24"/>
          <w:szCs w:val="24"/>
        </w:rPr>
        <w:t>,</w:t>
      </w:r>
      <w:r w:rsidR="00173066" w:rsidRPr="00C469AD">
        <w:rPr>
          <w:rFonts w:ascii="Times New Roman" w:hAnsi="Times New Roman" w:cs="Times New Roman"/>
          <w:sz w:val="24"/>
          <w:szCs w:val="24"/>
        </w:rPr>
        <w:t xml:space="preserve"> synnerligen högproducerande</w:t>
      </w:r>
      <w:r w:rsidR="000F4BB6">
        <w:rPr>
          <w:rFonts w:ascii="Times New Roman" w:hAnsi="Times New Roman" w:cs="Times New Roman"/>
          <w:sz w:val="24"/>
          <w:szCs w:val="24"/>
        </w:rPr>
        <w:t>,</w:t>
      </w:r>
      <w:r w:rsidR="00173066" w:rsidRPr="00C469AD">
        <w:rPr>
          <w:rFonts w:ascii="Times New Roman" w:hAnsi="Times New Roman" w:cs="Times New Roman"/>
          <w:sz w:val="24"/>
          <w:szCs w:val="24"/>
        </w:rPr>
        <w:t xml:space="preserve"> forskare</w:t>
      </w:r>
      <w:r w:rsidR="000F4BB6">
        <w:rPr>
          <w:rFonts w:ascii="Times New Roman" w:hAnsi="Times New Roman" w:cs="Times New Roman"/>
          <w:sz w:val="24"/>
          <w:szCs w:val="24"/>
        </w:rPr>
        <w:t>s</w:t>
      </w:r>
      <w:r w:rsidR="00E70E3A" w:rsidRPr="00C469AD">
        <w:rPr>
          <w:rFonts w:ascii="Times New Roman" w:hAnsi="Times New Roman" w:cs="Times New Roman"/>
          <w:sz w:val="24"/>
          <w:szCs w:val="24"/>
        </w:rPr>
        <w:t xml:space="preserve"> ansökningar får stort genomslag. </w:t>
      </w:r>
      <w:r w:rsidR="00173066" w:rsidRPr="00C469AD">
        <w:rPr>
          <w:rFonts w:ascii="Times New Roman" w:hAnsi="Times New Roman" w:cs="Times New Roman"/>
          <w:sz w:val="24"/>
          <w:szCs w:val="24"/>
        </w:rPr>
        <w:t xml:space="preserve"> </w:t>
      </w:r>
    </w:p>
    <w:p w:rsidR="00173066" w:rsidRDefault="00173066" w:rsidP="00025D89">
      <w:pPr>
        <w:rPr>
          <w:rFonts w:ascii="Times New Roman" w:hAnsi="Times New Roman" w:cs="Times New Roman"/>
          <w:sz w:val="24"/>
          <w:szCs w:val="24"/>
        </w:rPr>
      </w:pPr>
      <w:r w:rsidRPr="00173066">
        <w:rPr>
          <w:rFonts w:ascii="Times New Roman" w:hAnsi="Times New Roman" w:cs="Times New Roman"/>
          <w:noProof/>
          <w:sz w:val="24"/>
          <w:szCs w:val="24"/>
          <w:lang w:eastAsia="sv-SE"/>
        </w:rPr>
        <w:drawing>
          <wp:inline distT="0" distB="0" distL="0" distR="0" wp14:anchorId="206A81FA" wp14:editId="310914A2">
            <wp:extent cx="5810250" cy="3609975"/>
            <wp:effectExtent l="0" t="0" r="19050"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BB6" w:rsidRDefault="00E70E3A" w:rsidP="00025D89">
      <w:pPr>
        <w:rPr>
          <w:rFonts w:ascii="Times New Roman" w:hAnsi="Times New Roman" w:cs="Times New Roman"/>
          <w:sz w:val="24"/>
          <w:szCs w:val="24"/>
        </w:rPr>
      </w:pPr>
      <w:r>
        <w:rPr>
          <w:rFonts w:ascii="Times New Roman" w:hAnsi="Times New Roman" w:cs="Times New Roman"/>
          <w:sz w:val="24"/>
          <w:szCs w:val="24"/>
        </w:rPr>
        <w:t>Skillnaderna mellan de</w:t>
      </w:r>
      <w:r w:rsidR="000F4BB6">
        <w:rPr>
          <w:rFonts w:ascii="Times New Roman" w:hAnsi="Times New Roman" w:cs="Times New Roman"/>
          <w:sz w:val="24"/>
          <w:szCs w:val="24"/>
        </w:rPr>
        <w:t>n grupp</w:t>
      </w:r>
      <w:r>
        <w:rPr>
          <w:rFonts w:ascii="Times New Roman" w:hAnsi="Times New Roman" w:cs="Times New Roman"/>
          <w:sz w:val="24"/>
          <w:szCs w:val="24"/>
        </w:rPr>
        <w:t xml:space="preserve"> som får sina ansökningar beviljade och hela gruppen sammantagen tycks inte bero på att den beviljade gruppen har en högre andel internationellt spridda och peer review-granskade publikationer. I figur 9 och 10 redovisas andelen internationellt spridda och peer review-granskade publikationer av antalet åberopade publikationer. Figur 9 avser hela sökandegruppen, medan figur 10 avser gruppen så fått sin ansökan beviljad.</w:t>
      </w:r>
      <w:r w:rsidR="00402BF5">
        <w:rPr>
          <w:rFonts w:ascii="Times New Roman" w:hAnsi="Times New Roman" w:cs="Times New Roman"/>
          <w:sz w:val="24"/>
          <w:szCs w:val="24"/>
        </w:rPr>
        <w:t xml:space="preserve"> Figurerna visar att andelen åberopade peer review-granskade artiklar, vad gäller hela sökandegruppen, har ökat något över tid.</w:t>
      </w:r>
      <w:r w:rsidR="0041583F">
        <w:rPr>
          <w:rFonts w:ascii="Times New Roman" w:hAnsi="Times New Roman" w:cs="Times New Roman"/>
          <w:sz w:val="24"/>
          <w:szCs w:val="24"/>
        </w:rPr>
        <w:t xml:space="preserve"> Även om skillnaderna är små så har gruppen som beviljats medel inte högre andel internationellt spridda eller peer review-granskade artiklar.</w:t>
      </w:r>
    </w:p>
    <w:p w:rsidR="00E70E3A" w:rsidRDefault="00E70E3A" w:rsidP="00025D89">
      <w:pPr>
        <w:rPr>
          <w:rFonts w:ascii="Times New Roman" w:hAnsi="Times New Roman" w:cs="Times New Roman"/>
          <w:sz w:val="24"/>
          <w:szCs w:val="24"/>
        </w:rPr>
      </w:pPr>
      <w:r>
        <w:rPr>
          <w:rFonts w:ascii="Times New Roman" w:hAnsi="Times New Roman" w:cs="Times New Roman"/>
          <w:sz w:val="24"/>
          <w:szCs w:val="24"/>
        </w:rPr>
        <w:t xml:space="preserve"> </w:t>
      </w:r>
    </w:p>
    <w:p w:rsidR="00173066" w:rsidRDefault="00E70E3A" w:rsidP="00025D89">
      <w:pPr>
        <w:rPr>
          <w:rFonts w:ascii="Times New Roman" w:hAnsi="Times New Roman" w:cs="Times New Roman"/>
          <w:sz w:val="24"/>
          <w:szCs w:val="24"/>
        </w:rPr>
      </w:pPr>
      <w:r w:rsidRPr="00E70E3A">
        <w:rPr>
          <w:rFonts w:ascii="Times New Roman" w:hAnsi="Times New Roman" w:cs="Times New Roman"/>
          <w:noProof/>
          <w:sz w:val="24"/>
          <w:szCs w:val="24"/>
          <w:lang w:eastAsia="sv-SE"/>
        </w:rPr>
        <w:lastRenderedPageBreak/>
        <w:drawing>
          <wp:inline distT="0" distB="0" distL="0" distR="0" wp14:anchorId="786336DB" wp14:editId="113C638D">
            <wp:extent cx="5953125" cy="3495675"/>
            <wp:effectExtent l="0" t="0" r="9525"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imes New Roman" w:hAnsi="Times New Roman" w:cs="Times New Roman"/>
          <w:sz w:val="24"/>
          <w:szCs w:val="24"/>
        </w:rPr>
        <w:t xml:space="preserve">  </w:t>
      </w:r>
    </w:p>
    <w:p w:rsidR="00173066" w:rsidRDefault="00173066" w:rsidP="00025D89">
      <w:pPr>
        <w:rPr>
          <w:rFonts w:ascii="Times New Roman" w:hAnsi="Times New Roman" w:cs="Times New Roman"/>
          <w:sz w:val="24"/>
          <w:szCs w:val="24"/>
        </w:rPr>
      </w:pPr>
      <w:r>
        <w:rPr>
          <w:rFonts w:ascii="Times New Roman" w:hAnsi="Times New Roman" w:cs="Times New Roman"/>
          <w:sz w:val="24"/>
          <w:szCs w:val="24"/>
        </w:rPr>
        <w:t xml:space="preserve"> </w:t>
      </w:r>
      <w:r w:rsidR="00E70E3A" w:rsidRPr="00E70E3A">
        <w:rPr>
          <w:rFonts w:ascii="Times New Roman" w:hAnsi="Times New Roman" w:cs="Times New Roman"/>
          <w:noProof/>
          <w:sz w:val="24"/>
          <w:szCs w:val="24"/>
          <w:lang w:eastAsia="sv-SE"/>
        </w:rPr>
        <w:drawing>
          <wp:inline distT="0" distB="0" distL="0" distR="0" wp14:anchorId="7C5A8D52" wp14:editId="38EC7189">
            <wp:extent cx="5962650" cy="3305175"/>
            <wp:effectExtent l="0" t="0" r="19050"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4634D" w:rsidRDefault="00025D89" w:rsidP="00A3302B">
      <w:pPr>
        <w:rPr>
          <w:rFonts w:ascii="Times New Roman" w:hAnsi="Times New Roman" w:cs="Times New Roman"/>
          <w:sz w:val="24"/>
          <w:szCs w:val="24"/>
        </w:rPr>
      </w:pPr>
      <w:r w:rsidRPr="00025D89">
        <w:rPr>
          <w:rFonts w:ascii="Times New Roman" w:hAnsi="Times New Roman" w:cs="Times New Roman"/>
          <w:sz w:val="24"/>
          <w:szCs w:val="24"/>
        </w:rPr>
        <w:t xml:space="preserve"> </w:t>
      </w:r>
    </w:p>
    <w:p w:rsidR="00402BF5" w:rsidRPr="00A3302B" w:rsidRDefault="00402BF5" w:rsidP="00A3302B">
      <w:pPr>
        <w:rPr>
          <w:rFonts w:ascii="Times New Roman" w:hAnsi="Times New Roman" w:cs="Times New Roman"/>
          <w:sz w:val="24"/>
          <w:szCs w:val="24"/>
        </w:rPr>
      </w:pPr>
      <w:r>
        <w:rPr>
          <w:rFonts w:ascii="Times New Roman" w:hAnsi="Times New Roman" w:cs="Times New Roman"/>
          <w:sz w:val="24"/>
          <w:szCs w:val="24"/>
        </w:rPr>
        <w:t xml:space="preserve">Det kan alltså konstateras, mot bakgrund av utfallet i de fyra ansökningsomgångarna, att andelen peer review-granskade och internationellt spridda publikationer har liten betydelse för utfallet. </w:t>
      </w:r>
      <w:r w:rsidR="00BE0796">
        <w:rPr>
          <w:rFonts w:ascii="Times New Roman" w:hAnsi="Times New Roman" w:cs="Times New Roman"/>
          <w:sz w:val="24"/>
          <w:szCs w:val="24"/>
        </w:rPr>
        <w:t xml:space="preserve">Det går heller inte att finna ett statistiskt samband mellan antalet peer review-granskade artiklar och lyckade ansökningar. Signifikansen för ett sådant samband har vid en logisk binär regression visat sig vara hög (p= 0,58). Det samma gäller sambandet mellan </w:t>
      </w:r>
      <w:r w:rsidR="00BE0796">
        <w:rPr>
          <w:rFonts w:ascii="Times New Roman" w:hAnsi="Times New Roman" w:cs="Times New Roman"/>
          <w:sz w:val="24"/>
          <w:szCs w:val="24"/>
        </w:rPr>
        <w:lastRenderedPageBreak/>
        <w:t xml:space="preserve">antalet internationellt spridda publikationer och lyckade ansökningar. Detta torde innebära att hittills har systemet inte medfört att en viss typ av publikationer ökar sannolikheten för att få resurstilldelning.  </w:t>
      </w:r>
      <w:r>
        <w:rPr>
          <w:rFonts w:ascii="Times New Roman" w:hAnsi="Times New Roman" w:cs="Times New Roman"/>
          <w:sz w:val="24"/>
          <w:szCs w:val="24"/>
        </w:rPr>
        <w:t xml:space="preserve">   </w:t>
      </w:r>
    </w:p>
    <w:p w:rsidR="00B9275D" w:rsidRDefault="00B9275D">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9E0C68" w:rsidRPr="009D10BF" w:rsidRDefault="009E0C68" w:rsidP="00B9275D">
      <w:pPr>
        <w:pStyle w:val="Rubrik2"/>
        <w:numPr>
          <w:ilvl w:val="0"/>
          <w:numId w:val="3"/>
        </w:numPr>
        <w:rPr>
          <w:rFonts w:ascii="Times New Roman" w:hAnsi="Times New Roman" w:cs="Times New Roman"/>
          <w:sz w:val="24"/>
          <w:szCs w:val="24"/>
        </w:rPr>
      </w:pPr>
      <w:r w:rsidRPr="009D10BF">
        <w:rPr>
          <w:rFonts w:ascii="Times New Roman" w:hAnsi="Times New Roman" w:cs="Times New Roman"/>
          <w:sz w:val="24"/>
          <w:szCs w:val="24"/>
        </w:rPr>
        <w:lastRenderedPageBreak/>
        <w:t>Resultat och slutsatser</w:t>
      </w:r>
    </w:p>
    <w:p w:rsidR="009E0C68" w:rsidRPr="009D10BF" w:rsidRDefault="0035397F" w:rsidP="009E0C68">
      <w:pPr>
        <w:rPr>
          <w:rFonts w:ascii="Times New Roman" w:hAnsi="Times New Roman" w:cs="Times New Roman"/>
          <w:sz w:val="24"/>
          <w:szCs w:val="24"/>
        </w:rPr>
      </w:pPr>
      <w:r w:rsidRPr="009D10BF">
        <w:rPr>
          <w:rFonts w:ascii="Times New Roman" w:hAnsi="Times New Roman" w:cs="Times New Roman"/>
          <w:sz w:val="24"/>
          <w:szCs w:val="24"/>
        </w:rPr>
        <w:t>U</w:t>
      </w:r>
      <w:r w:rsidR="009E0C68" w:rsidRPr="009D10BF">
        <w:rPr>
          <w:rFonts w:ascii="Times New Roman" w:hAnsi="Times New Roman" w:cs="Times New Roman"/>
          <w:sz w:val="24"/>
          <w:szCs w:val="24"/>
        </w:rPr>
        <w:t>tvärderingsu</w:t>
      </w:r>
      <w:r w:rsidRPr="009D10BF">
        <w:rPr>
          <w:rFonts w:ascii="Times New Roman" w:hAnsi="Times New Roman" w:cs="Times New Roman"/>
          <w:sz w:val="24"/>
          <w:szCs w:val="24"/>
        </w:rPr>
        <w:t xml:space="preserve">ppdraget avsåg, </w:t>
      </w:r>
      <w:r w:rsidR="00BF5AF5" w:rsidRPr="009D10BF">
        <w:rPr>
          <w:rFonts w:ascii="Times New Roman" w:hAnsi="Times New Roman" w:cs="Times New Roman"/>
          <w:sz w:val="24"/>
          <w:szCs w:val="24"/>
        </w:rPr>
        <w:t xml:space="preserve">något </w:t>
      </w:r>
      <w:r w:rsidRPr="009D10BF">
        <w:rPr>
          <w:rFonts w:ascii="Times New Roman" w:hAnsi="Times New Roman" w:cs="Times New Roman"/>
          <w:sz w:val="24"/>
          <w:szCs w:val="24"/>
        </w:rPr>
        <w:t xml:space="preserve">förenklat, att dels undersöka olika mätbara aspekter av publiceringssätt och publiceringsfrekvens hos fakultetens anställda.  Särskild vikt skulle fästas vid internationell publicering och peer review-granskade publiceringar för att </w:t>
      </w:r>
      <w:proofErr w:type="gramStart"/>
      <w:r w:rsidRPr="009D10BF">
        <w:rPr>
          <w:rFonts w:ascii="Times New Roman" w:hAnsi="Times New Roman" w:cs="Times New Roman"/>
          <w:sz w:val="24"/>
          <w:szCs w:val="24"/>
        </w:rPr>
        <w:t>utröna</w:t>
      </w:r>
      <w:proofErr w:type="gramEnd"/>
      <w:r w:rsidRPr="009D10BF">
        <w:rPr>
          <w:rFonts w:ascii="Times New Roman" w:hAnsi="Times New Roman" w:cs="Times New Roman"/>
          <w:sz w:val="24"/>
          <w:szCs w:val="24"/>
        </w:rPr>
        <w:t xml:space="preserve"> om sådan publicering har ökat. Uppdraget avsåg också att undersöka i vad mån kön, ålder och </w:t>
      </w:r>
      <w:r w:rsidR="006015E8" w:rsidRPr="009D10BF">
        <w:rPr>
          <w:rFonts w:ascii="Times New Roman" w:hAnsi="Times New Roman" w:cs="Times New Roman"/>
          <w:sz w:val="24"/>
          <w:szCs w:val="24"/>
        </w:rPr>
        <w:t xml:space="preserve">akademisk titel har </w:t>
      </w:r>
      <w:r w:rsidR="008C0969" w:rsidRPr="009D10BF">
        <w:rPr>
          <w:rFonts w:ascii="Times New Roman" w:hAnsi="Times New Roman" w:cs="Times New Roman"/>
          <w:sz w:val="24"/>
          <w:szCs w:val="24"/>
        </w:rPr>
        <w:t>varit</w:t>
      </w:r>
      <w:r w:rsidR="006015E8" w:rsidRPr="009D10BF">
        <w:rPr>
          <w:rFonts w:ascii="Times New Roman" w:hAnsi="Times New Roman" w:cs="Times New Roman"/>
          <w:sz w:val="24"/>
          <w:szCs w:val="24"/>
        </w:rPr>
        <w:t xml:space="preserve"> utslagsgivande för att erhålla medel. Därtill skulle utvärderingen även presentera andra faktorer som indikerar för- eller nackdelar i systemet.  </w:t>
      </w:r>
      <w:r w:rsidRPr="009D10BF">
        <w:rPr>
          <w:rFonts w:ascii="Times New Roman" w:hAnsi="Times New Roman" w:cs="Times New Roman"/>
          <w:sz w:val="24"/>
          <w:szCs w:val="24"/>
        </w:rPr>
        <w:t xml:space="preserve">    </w:t>
      </w:r>
      <w:r w:rsidR="009E0C68" w:rsidRPr="009D10BF">
        <w:rPr>
          <w:rFonts w:ascii="Times New Roman" w:hAnsi="Times New Roman" w:cs="Times New Roman"/>
          <w:sz w:val="24"/>
          <w:szCs w:val="24"/>
        </w:rPr>
        <w:t xml:space="preserve"> </w:t>
      </w:r>
    </w:p>
    <w:p w:rsidR="009E0C68" w:rsidRPr="009D10BF" w:rsidRDefault="00DB208A" w:rsidP="00DA4848">
      <w:pPr>
        <w:pStyle w:val="Rubrik4"/>
      </w:pPr>
      <w:r w:rsidRPr="009D10BF">
        <w:t>Publiceringssätt och publikation</w:t>
      </w:r>
      <w:r w:rsidR="009E0C68" w:rsidRPr="009D10BF">
        <w:t>sfrekvens</w:t>
      </w:r>
    </w:p>
    <w:p w:rsidR="00DB208A" w:rsidRPr="009D10BF" w:rsidRDefault="006015E8" w:rsidP="006015E8">
      <w:pPr>
        <w:rPr>
          <w:rFonts w:ascii="Times New Roman" w:hAnsi="Times New Roman" w:cs="Times New Roman"/>
          <w:sz w:val="24"/>
          <w:szCs w:val="24"/>
        </w:rPr>
      </w:pPr>
      <w:r w:rsidRPr="009D10BF">
        <w:rPr>
          <w:rFonts w:ascii="Times New Roman" w:hAnsi="Times New Roman" w:cs="Times New Roman"/>
          <w:sz w:val="24"/>
          <w:szCs w:val="24"/>
        </w:rPr>
        <w:t xml:space="preserve">Den </w:t>
      </w:r>
      <w:r w:rsidR="00DB208A" w:rsidRPr="009D10BF">
        <w:rPr>
          <w:rFonts w:ascii="Times New Roman" w:hAnsi="Times New Roman" w:cs="Times New Roman"/>
          <w:sz w:val="24"/>
          <w:szCs w:val="24"/>
        </w:rPr>
        <w:t xml:space="preserve">kvantitativa </w:t>
      </w:r>
      <w:r w:rsidRPr="009D10BF">
        <w:rPr>
          <w:rFonts w:ascii="Times New Roman" w:hAnsi="Times New Roman" w:cs="Times New Roman"/>
          <w:sz w:val="24"/>
          <w:szCs w:val="24"/>
        </w:rPr>
        <w:t xml:space="preserve">undersökning som har gjorts har i första hand gällt de som har </w:t>
      </w:r>
      <w:r w:rsidR="000F4BB6">
        <w:rPr>
          <w:rFonts w:ascii="Times New Roman" w:hAnsi="Times New Roman" w:cs="Times New Roman"/>
          <w:sz w:val="24"/>
          <w:szCs w:val="24"/>
        </w:rPr>
        <w:t>sökt kvalitetsbaserade resurstill</w:t>
      </w:r>
      <w:r w:rsidRPr="009D10BF">
        <w:rPr>
          <w:rFonts w:ascii="Times New Roman" w:hAnsi="Times New Roman" w:cs="Times New Roman"/>
          <w:sz w:val="24"/>
          <w:szCs w:val="24"/>
        </w:rPr>
        <w:t xml:space="preserve">delningsmedel. </w:t>
      </w:r>
      <w:r w:rsidR="00DB208A" w:rsidRPr="009D10BF">
        <w:rPr>
          <w:rFonts w:ascii="Times New Roman" w:hAnsi="Times New Roman" w:cs="Times New Roman"/>
          <w:sz w:val="24"/>
          <w:szCs w:val="24"/>
        </w:rPr>
        <w:t>Några generella slutsatser kan dras när det gäller publiceringssätt och publikationsfrekvens:</w:t>
      </w:r>
    </w:p>
    <w:p w:rsidR="00BF5AF5" w:rsidRPr="009D10BF" w:rsidRDefault="00DB2D01" w:rsidP="00DB2D01">
      <w:pPr>
        <w:rPr>
          <w:rFonts w:ascii="Times New Roman" w:hAnsi="Times New Roman" w:cs="Times New Roman"/>
          <w:sz w:val="24"/>
          <w:szCs w:val="24"/>
        </w:rPr>
      </w:pPr>
      <w:r w:rsidRPr="009D10BF">
        <w:rPr>
          <w:rFonts w:ascii="Times New Roman" w:hAnsi="Times New Roman" w:cs="Times New Roman"/>
          <w:sz w:val="24"/>
          <w:szCs w:val="24"/>
        </w:rPr>
        <w:t xml:space="preserve">Enligt en genomgång av antalet forskningspublikationer som registrerats i DIVA så förefaller inte publikationsfrekvensen ha ökat. Tvärtom publicerades det fler forskningspublikationer 2005 (388 stycken) än vad det gjorde 2009 (283 stycken) och 2010. Detta mått synes dock inte vara särskilt tillförlitligt eftersom antalet anställda forskare på fakulteten påverkar resultatet. </w:t>
      </w:r>
      <w:r w:rsidR="00D17ACE" w:rsidRPr="009D10BF">
        <w:rPr>
          <w:rFonts w:ascii="Times New Roman" w:hAnsi="Times New Roman" w:cs="Times New Roman"/>
          <w:sz w:val="24"/>
          <w:szCs w:val="24"/>
        </w:rPr>
        <w:t>Även om man tar hänsyn till variationer när det gäller fakultetens storlek</w:t>
      </w:r>
      <w:r w:rsidR="00685D27">
        <w:rPr>
          <w:rFonts w:ascii="Times New Roman" w:hAnsi="Times New Roman" w:cs="Times New Roman"/>
          <w:sz w:val="24"/>
          <w:szCs w:val="24"/>
        </w:rPr>
        <w:t>,</w:t>
      </w:r>
      <w:r w:rsidR="00D17ACE" w:rsidRPr="009D10BF">
        <w:rPr>
          <w:rFonts w:ascii="Times New Roman" w:hAnsi="Times New Roman" w:cs="Times New Roman"/>
          <w:sz w:val="24"/>
          <w:szCs w:val="24"/>
        </w:rPr>
        <w:t xml:space="preserve"> räknat till antal anställda vid olika tillfällen, blir inte resultatet tillförlitligt, eftersom icke-forskningsrelaterade arbetsuppgifter är fördelade olika mellan åren. </w:t>
      </w:r>
    </w:p>
    <w:p w:rsidR="006015E8" w:rsidRPr="009D10BF" w:rsidRDefault="008C0969" w:rsidP="007D5618">
      <w:pPr>
        <w:rPr>
          <w:rFonts w:ascii="Times New Roman" w:hAnsi="Times New Roman" w:cs="Times New Roman"/>
          <w:sz w:val="24"/>
          <w:szCs w:val="24"/>
        </w:rPr>
      </w:pPr>
      <w:r w:rsidRPr="009D10BF">
        <w:rPr>
          <w:rFonts w:ascii="Times New Roman" w:hAnsi="Times New Roman" w:cs="Times New Roman"/>
          <w:sz w:val="24"/>
          <w:szCs w:val="24"/>
        </w:rPr>
        <w:t>Om man istället undersöker de</w:t>
      </w:r>
      <w:r w:rsidR="00BF5AF5" w:rsidRPr="009D10BF">
        <w:rPr>
          <w:rFonts w:ascii="Times New Roman" w:hAnsi="Times New Roman" w:cs="Times New Roman"/>
          <w:sz w:val="24"/>
          <w:szCs w:val="24"/>
        </w:rPr>
        <w:t>n grupp</w:t>
      </w:r>
      <w:r w:rsidRPr="009D10BF">
        <w:rPr>
          <w:rFonts w:ascii="Times New Roman" w:hAnsi="Times New Roman" w:cs="Times New Roman"/>
          <w:sz w:val="24"/>
          <w:szCs w:val="24"/>
        </w:rPr>
        <w:t xml:space="preserve"> som ansökt om kvalitetsbaserade forskningsmedel så tyder </w:t>
      </w:r>
      <w:r w:rsidR="00D2347F">
        <w:rPr>
          <w:rFonts w:ascii="Times New Roman" w:hAnsi="Times New Roman" w:cs="Times New Roman"/>
          <w:sz w:val="24"/>
          <w:szCs w:val="24"/>
        </w:rPr>
        <w:t>utvärderingen</w:t>
      </w:r>
      <w:r w:rsidRPr="009D10BF">
        <w:rPr>
          <w:rFonts w:ascii="Times New Roman" w:hAnsi="Times New Roman" w:cs="Times New Roman"/>
          <w:sz w:val="24"/>
          <w:szCs w:val="24"/>
        </w:rPr>
        <w:t xml:space="preserve"> på att publikationsfrekvensen har ökat. Undersökningen visar också att skillnaderna mellan de som erhållit medel och de som inte erhållit medel har ökat</w:t>
      </w:r>
      <w:r w:rsidR="00A3302B">
        <w:rPr>
          <w:rFonts w:ascii="Times New Roman" w:hAnsi="Times New Roman" w:cs="Times New Roman"/>
          <w:sz w:val="24"/>
          <w:szCs w:val="24"/>
        </w:rPr>
        <w:t xml:space="preserve"> påtagligt</w:t>
      </w:r>
      <w:r w:rsidRPr="009D10BF">
        <w:rPr>
          <w:rFonts w:ascii="Times New Roman" w:hAnsi="Times New Roman" w:cs="Times New Roman"/>
          <w:sz w:val="24"/>
          <w:szCs w:val="24"/>
        </w:rPr>
        <w:t>. Det innebär att skillnaden i publicerings</w:t>
      </w:r>
      <w:r w:rsidR="00A3302B">
        <w:rPr>
          <w:rFonts w:ascii="Times New Roman" w:hAnsi="Times New Roman" w:cs="Times New Roman"/>
          <w:sz w:val="24"/>
          <w:szCs w:val="24"/>
        </w:rPr>
        <w:t>frekvensen</w:t>
      </w:r>
      <w:r w:rsidRPr="009D10BF">
        <w:rPr>
          <w:rFonts w:ascii="Times New Roman" w:hAnsi="Times New Roman" w:cs="Times New Roman"/>
          <w:sz w:val="24"/>
          <w:szCs w:val="24"/>
        </w:rPr>
        <w:t xml:space="preserve"> har ökat mellan de som erhåller medel och de som inte gör det. </w:t>
      </w:r>
      <w:r w:rsidR="0088152F" w:rsidRPr="009D10BF">
        <w:rPr>
          <w:rFonts w:ascii="Times New Roman" w:hAnsi="Times New Roman" w:cs="Times New Roman"/>
          <w:sz w:val="24"/>
          <w:szCs w:val="24"/>
        </w:rPr>
        <w:t>Däremot har inte publi</w:t>
      </w:r>
      <w:r w:rsidR="00A3302B">
        <w:rPr>
          <w:rFonts w:ascii="Times New Roman" w:hAnsi="Times New Roman" w:cs="Times New Roman"/>
          <w:sz w:val="24"/>
          <w:szCs w:val="24"/>
        </w:rPr>
        <w:t>cering</w:t>
      </w:r>
      <w:r w:rsidR="0088152F" w:rsidRPr="009D10BF">
        <w:rPr>
          <w:rFonts w:ascii="Times New Roman" w:hAnsi="Times New Roman" w:cs="Times New Roman"/>
          <w:sz w:val="24"/>
          <w:szCs w:val="24"/>
        </w:rPr>
        <w:t>s</w:t>
      </w:r>
      <w:r w:rsidR="00A3302B">
        <w:rPr>
          <w:rFonts w:ascii="Times New Roman" w:hAnsi="Times New Roman" w:cs="Times New Roman"/>
          <w:sz w:val="24"/>
          <w:szCs w:val="24"/>
        </w:rPr>
        <w:t>sättet</w:t>
      </w:r>
      <w:r w:rsidR="0088152F" w:rsidRPr="009D10BF">
        <w:rPr>
          <w:rFonts w:ascii="Times New Roman" w:hAnsi="Times New Roman" w:cs="Times New Roman"/>
          <w:sz w:val="24"/>
          <w:szCs w:val="24"/>
        </w:rPr>
        <w:t xml:space="preserve"> </w:t>
      </w:r>
      <w:r w:rsidR="00A3302B">
        <w:rPr>
          <w:rFonts w:ascii="Times New Roman" w:hAnsi="Times New Roman" w:cs="Times New Roman"/>
          <w:sz w:val="24"/>
          <w:szCs w:val="24"/>
        </w:rPr>
        <w:t>förändrats lika</w:t>
      </w:r>
      <w:r w:rsidRPr="009D10BF">
        <w:rPr>
          <w:rFonts w:ascii="Times New Roman" w:hAnsi="Times New Roman" w:cs="Times New Roman"/>
          <w:sz w:val="24"/>
          <w:szCs w:val="24"/>
        </w:rPr>
        <w:t xml:space="preserve"> </w:t>
      </w:r>
      <w:r w:rsidR="0088152F" w:rsidRPr="009D10BF">
        <w:rPr>
          <w:rFonts w:ascii="Times New Roman" w:hAnsi="Times New Roman" w:cs="Times New Roman"/>
          <w:sz w:val="24"/>
          <w:szCs w:val="24"/>
        </w:rPr>
        <w:t xml:space="preserve">märkbart. Det betyder att de som erhåller medel under de senaste utlysningar </w:t>
      </w:r>
      <w:r w:rsidR="00A3302B">
        <w:rPr>
          <w:rFonts w:ascii="Times New Roman" w:hAnsi="Times New Roman" w:cs="Times New Roman"/>
          <w:sz w:val="24"/>
          <w:szCs w:val="24"/>
        </w:rPr>
        <w:t>har</w:t>
      </w:r>
      <w:r w:rsidR="0088152F" w:rsidRPr="009D10BF">
        <w:rPr>
          <w:rFonts w:ascii="Times New Roman" w:hAnsi="Times New Roman" w:cs="Times New Roman"/>
          <w:sz w:val="24"/>
          <w:szCs w:val="24"/>
        </w:rPr>
        <w:t xml:space="preserve"> fler publikationer, </w:t>
      </w:r>
      <w:r w:rsidR="00A3302B">
        <w:rPr>
          <w:rFonts w:ascii="Times New Roman" w:hAnsi="Times New Roman" w:cs="Times New Roman"/>
          <w:sz w:val="24"/>
          <w:szCs w:val="24"/>
        </w:rPr>
        <w:t xml:space="preserve">med att de däremot inte har högre andel peer review-granskade eller internationellt spridda publikationer </w:t>
      </w:r>
      <w:r w:rsidR="0088152F" w:rsidRPr="009D10BF">
        <w:rPr>
          <w:rFonts w:ascii="Times New Roman" w:hAnsi="Times New Roman" w:cs="Times New Roman"/>
          <w:sz w:val="24"/>
          <w:szCs w:val="24"/>
        </w:rPr>
        <w:t>i högre utsträckning</w:t>
      </w:r>
      <w:r w:rsidR="00D2347F">
        <w:rPr>
          <w:rFonts w:ascii="Times New Roman" w:hAnsi="Times New Roman" w:cs="Times New Roman"/>
          <w:sz w:val="24"/>
          <w:szCs w:val="24"/>
        </w:rPr>
        <w:t xml:space="preserve"> än hela sökandegruppen</w:t>
      </w:r>
      <w:r w:rsidR="0088152F" w:rsidRPr="009D10BF">
        <w:rPr>
          <w:rFonts w:ascii="Times New Roman" w:hAnsi="Times New Roman" w:cs="Times New Roman"/>
          <w:sz w:val="24"/>
          <w:szCs w:val="24"/>
        </w:rPr>
        <w:t xml:space="preserve">. </w:t>
      </w:r>
      <w:r w:rsidR="00A3302B">
        <w:rPr>
          <w:rFonts w:ascii="Times New Roman" w:hAnsi="Times New Roman" w:cs="Times New Roman"/>
          <w:sz w:val="24"/>
          <w:szCs w:val="24"/>
        </w:rPr>
        <w:t>Sammantaget har dock andelen</w:t>
      </w:r>
      <w:r w:rsidR="0088152F" w:rsidRPr="009D10BF">
        <w:rPr>
          <w:rFonts w:ascii="Times New Roman" w:hAnsi="Times New Roman" w:cs="Times New Roman"/>
          <w:sz w:val="24"/>
          <w:szCs w:val="24"/>
        </w:rPr>
        <w:t xml:space="preserve"> internationella</w:t>
      </w:r>
      <w:r w:rsidR="00A3302B">
        <w:rPr>
          <w:rFonts w:ascii="Times New Roman" w:hAnsi="Times New Roman" w:cs="Times New Roman"/>
          <w:sz w:val="24"/>
          <w:szCs w:val="24"/>
        </w:rPr>
        <w:t xml:space="preserve"> spridda </w:t>
      </w:r>
      <w:r w:rsidR="0088152F" w:rsidRPr="009D10BF">
        <w:rPr>
          <w:rFonts w:ascii="Times New Roman" w:hAnsi="Times New Roman" w:cs="Times New Roman"/>
          <w:sz w:val="24"/>
          <w:szCs w:val="24"/>
        </w:rPr>
        <w:t xml:space="preserve">och peer review-granskade </w:t>
      </w:r>
      <w:r w:rsidR="00A3302B" w:rsidRPr="009D10BF">
        <w:rPr>
          <w:rFonts w:ascii="Times New Roman" w:hAnsi="Times New Roman" w:cs="Times New Roman"/>
          <w:sz w:val="24"/>
          <w:szCs w:val="24"/>
        </w:rPr>
        <w:t xml:space="preserve">publikationer </w:t>
      </w:r>
      <w:r w:rsidR="0088152F" w:rsidRPr="009D10BF">
        <w:rPr>
          <w:rFonts w:ascii="Times New Roman" w:hAnsi="Times New Roman" w:cs="Times New Roman"/>
          <w:sz w:val="24"/>
          <w:szCs w:val="24"/>
        </w:rPr>
        <w:t>ökat något.</w:t>
      </w:r>
    </w:p>
    <w:p w:rsidR="006956B0" w:rsidRPr="009D10BF" w:rsidRDefault="006956B0" w:rsidP="006956B0">
      <w:pPr>
        <w:rPr>
          <w:rFonts w:ascii="Times New Roman" w:hAnsi="Times New Roman" w:cs="Times New Roman"/>
          <w:sz w:val="24"/>
          <w:szCs w:val="24"/>
        </w:rPr>
      </w:pPr>
      <w:r w:rsidRPr="009D10BF">
        <w:rPr>
          <w:rFonts w:ascii="Times New Roman" w:hAnsi="Times New Roman" w:cs="Times New Roman"/>
          <w:sz w:val="24"/>
          <w:szCs w:val="24"/>
        </w:rPr>
        <w:t>Enkätundersökningen visar också att fakultetens anställda i tämligen hög utsträ</w:t>
      </w:r>
      <w:r w:rsidR="000F4BB6">
        <w:rPr>
          <w:rFonts w:ascii="Times New Roman" w:hAnsi="Times New Roman" w:cs="Times New Roman"/>
          <w:sz w:val="24"/>
          <w:szCs w:val="24"/>
        </w:rPr>
        <w:t>ckning tar hänsyn till resurstill</w:t>
      </w:r>
      <w:r w:rsidRPr="009D10BF">
        <w:rPr>
          <w:rFonts w:ascii="Times New Roman" w:hAnsi="Times New Roman" w:cs="Times New Roman"/>
          <w:sz w:val="24"/>
          <w:szCs w:val="24"/>
        </w:rPr>
        <w:t xml:space="preserve">delningssystemet inför en publicering. Enkäten indikerar att andelen internationellt spridda och peer review-granskade forskningspublikationer torde öka kommande år. </w:t>
      </w:r>
    </w:p>
    <w:p w:rsidR="0055058B" w:rsidRPr="009D10BF" w:rsidRDefault="006956B0" w:rsidP="007D5618">
      <w:pPr>
        <w:rPr>
          <w:rFonts w:ascii="Times New Roman" w:hAnsi="Times New Roman" w:cs="Times New Roman"/>
          <w:sz w:val="24"/>
          <w:szCs w:val="24"/>
        </w:rPr>
      </w:pPr>
      <w:r w:rsidRPr="009D10BF">
        <w:rPr>
          <w:rFonts w:ascii="Times New Roman" w:hAnsi="Times New Roman" w:cs="Times New Roman"/>
          <w:sz w:val="24"/>
          <w:szCs w:val="24"/>
        </w:rPr>
        <w:t xml:space="preserve">Man kan i detta sammanhang undra om ett visst publiceringssätt är urskiljbart som särskilt lyckosamt. Enligt flertalet svar i enkäten förefaller det finnas en uppfattning att enbart </w:t>
      </w:r>
      <w:r w:rsidRPr="009D10BF">
        <w:rPr>
          <w:rFonts w:ascii="Times New Roman" w:hAnsi="Times New Roman" w:cs="Times New Roman"/>
          <w:i/>
          <w:sz w:val="24"/>
          <w:szCs w:val="24"/>
        </w:rPr>
        <w:t>ett</w:t>
      </w:r>
      <w:r w:rsidRPr="009D10BF">
        <w:rPr>
          <w:rFonts w:ascii="Times New Roman" w:hAnsi="Times New Roman" w:cs="Times New Roman"/>
          <w:sz w:val="24"/>
          <w:szCs w:val="24"/>
        </w:rPr>
        <w:t xml:space="preserve"> publikationssätt gynnas. Det vill säga att systemet missgynnar den som vill publicera monografier och gynna den som skriver artiklar på andra språk än svenska. </w:t>
      </w:r>
      <w:proofErr w:type="gramStart"/>
      <w:r w:rsidRPr="009D10BF">
        <w:rPr>
          <w:rFonts w:ascii="Times New Roman" w:hAnsi="Times New Roman" w:cs="Times New Roman"/>
          <w:sz w:val="24"/>
          <w:szCs w:val="24"/>
        </w:rPr>
        <w:t>Oaktat</w:t>
      </w:r>
      <w:proofErr w:type="gramEnd"/>
      <w:r w:rsidRPr="009D10BF">
        <w:rPr>
          <w:rFonts w:ascii="Times New Roman" w:hAnsi="Times New Roman" w:cs="Times New Roman"/>
          <w:sz w:val="24"/>
          <w:szCs w:val="24"/>
        </w:rPr>
        <w:t xml:space="preserve"> den forskningsmöda som ligger bakom olika publiceringsformer </w:t>
      </w:r>
      <w:r w:rsidR="00BF5AF5" w:rsidRPr="009D10BF">
        <w:rPr>
          <w:rFonts w:ascii="Times New Roman" w:hAnsi="Times New Roman" w:cs="Times New Roman"/>
          <w:sz w:val="24"/>
          <w:szCs w:val="24"/>
        </w:rPr>
        <w:t xml:space="preserve">finns det inget statistiskt samband </w:t>
      </w:r>
      <w:r w:rsidRPr="009D10BF">
        <w:rPr>
          <w:rFonts w:ascii="Times New Roman" w:hAnsi="Times New Roman" w:cs="Times New Roman"/>
          <w:sz w:val="24"/>
          <w:szCs w:val="24"/>
        </w:rPr>
        <w:t xml:space="preserve">som talar för att </w:t>
      </w:r>
      <w:r w:rsidR="00BF5AF5" w:rsidRPr="009D10BF">
        <w:rPr>
          <w:rFonts w:ascii="Times New Roman" w:hAnsi="Times New Roman" w:cs="Times New Roman"/>
          <w:sz w:val="24"/>
          <w:szCs w:val="24"/>
        </w:rPr>
        <w:t xml:space="preserve">internationellt spridda </w:t>
      </w:r>
      <w:r w:rsidRPr="009D10BF">
        <w:rPr>
          <w:rFonts w:ascii="Times New Roman" w:hAnsi="Times New Roman" w:cs="Times New Roman"/>
          <w:sz w:val="24"/>
          <w:szCs w:val="24"/>
        </w:rPr>
        <w:t xml:space="preserve">publikationer ökar möjligheterna för att erhålla medel. Detsamma gäller också, om än inte lika entydigt, peer review-granskade artiklar. </w:t>
      </w:r>
      <w:r w:rsidR="0055058B" w:rsidRPr="009D10BF">
        <w:rPr>
          <w:rFonts w:ascii="Times New Roman" w:hAnsi="Times New Roman" w:cs="Times New Roman"/>
          <w:sz w:val="24"/>
          <w:szCs w:val="24"/>
        </w:rPr>
        <w:t xml:space="preserve">Detta betyder att lyckade ansökningar lika väl kan ha åberopat få eller inga internationellt spridda publikationer eller peer review-granskade artiklar, som väldigt många </w:t>
      </w:r>
      <w:r w:rsidR="0055058B" w:rsidRPr="009D10BF">
        <w:rPr>
          <w:rFonts w:ascii="Times New Roman" w:hAnsi="Times New Roman" w:cs="Times New Roman"/>
          <w:sz w:val="24"/>
          <w:szCs w:val="24"/>
        </w:rPr>
        <w:lastRenderedPageBreak/>
        <w:t>sådana. Publiceringsformen tycks inte ha varit utslagsgivande, utan snarare antalet publiceringar.</w:t>
      </w:r>
    </w:p>
    <w:p w:rsidR="00BF5AF5" w:rsidRPr="009D10BF" w:rsidRDefault="0055058B" w:rsidP="007D5618">
      <w:pPr>
        <w:rPr>
          <w:rFonts w:ascii="Times New Roman" w:hAnsi="Times New Roman" w:cs="Times New Roman"/>
          <w:sz w:val="24"/>
          <w:szCs w:val="24"/>
        </w:rPr>
      </w:pPr>
      <w:r w:rsidRPr="009D10BF">
        <w:rPr>
          <w:rFonts w:ascii="Times New Roman" w:hAnsi="Times New Roman" w:cs="Times New Roman"/>
          <w:sz w:val="24"/>
          <w:szCs w:val="24"/>
        </w:rPr>
        <w:t xml:space="preserve">Det kan råda delade meningar huruvida detta betyder att systemet har uppnått avsedd verkan. Å ena sidan kan det ses </w:t>
      </w:r>
      <w:r w:rsidR="00464FE0" w:rsidRPr="009D10BF">
        <w:rPr>
          <w:rFonts w:ascii="Times New Roman" w:hAnsi="Times New Roman" w:cs="Times New Roman"/>
          <w:sz w:val="24"/>
          <w:szCs w:val="24"/>
        </w:rPr>
        <w:t>som en</w:t>
      </w:r>
      <w:r w:rsidRPr="009D10BF">
        <w:rPr>
          <w:rFonts w:ascii="Times New Roman" w:hAnsi="Times New Roman" w:cs="Times New Roman"/>
          <w:sz w:val="24"/>
          <w:szCs w:val="24"/>
        </w:rPr>
        <w:t xml:space="preserve"> </w:t>
      </w:r>
      <w:r w:rsidR="00464FE0" w:rsidRPr="009D10BF">
        <w:rPr>
          <w:rFonts w:ascii="Times New Roman" w:hAnsi="Times New Roman" w:cs="Times New Roman"/>
          <w:sz w:val="24"/>
          <w:szCs w:val="24"/>
        </w:rPr>
        <w:t>missräkning</w:t>
      </w:r>
      <w:r w:rsidRPr="009D10BF">
        <w:rPr>
          <w:rFonts w:ascii="Times New Roman" w:hAnsi="Times New Roman" w:cs="Times New Roman"/>
          <w:sz w:val="24"/>
          <w:szCs w:val="24"/>
        </w:rPr>
        <w:t xml:space="preserve"> att inte sambanden mellan de publiceringsformer som systemet gynnar och möjlighete</w:t>
      </w:r>
      <w:r w:rsidR="00464FE0" w:rsidRPr="009D10BF">
        <w:rPr>
          <w:rFonts w:ascii="Times New Roman" w:hAnsi="Times New Roman" w:cs="Times New Roman"/>
          <w:sz w:val="24"/>
          <w:szCs w:val="24"/>
        </w:rPr>
        <w:t>n till en lyckosam ansökan visade</w:t>
      </w:r>
      <w:r w:rsidRPr="009D10BF">
        <w:rPr>
          <w:rFonts w:ascii="Times New Roman" w:hAnsi="Times New Roman" w:cs="Times New Roman"/>
          <w:sz w:val="24"/>
          <w:szCs w:val="24"/>
        </w:rPr>
        <w:t xml:space="preserve"> sig vara större.</w:t>
      </w:r>
      <w:r w:rsidR="00464FE0" w:rsidRPr="009D10BF">
        <w:rPr>
          <w:rFonts w:ascii="Times New Roman" w:hAnsi="Times New Roman" w:cs="Times New Roman"/>
          <w:sz w:val="24"/>
          <w:szCs w:val="24"/>
        </w:rPr>
        <w:t xml:space="preserve"> Å andra sidan kan det ses som en styrka att möjligheten att erhålla medel är lika goda om man väljer andra publiceringsformer än de som systemet gynnar. Möjligheten att fritt välja publiceringsform ankommer, trots allt, den enskilda forskaren</w:t>
      </w:r>
      <w:r w:rsidR="007D5618" w:rsidRPr="009D10BF">
        <w:rPr>
          <w:rFonts w:ascii="Times New Roman" w:hAnsi="Times New Roman" w:cs="Times New Roman"/>
          <w:sz w:val="24"/>
          <w:szCs w:val="24"/>
        </w:rPr>
        <w:t xml:space="preserve"> och den friheten kvarstår.</w:t>
      </w:r>
      <w:r w:rsidR="00464FE0" w:rsidRPr="009D10BF">
        <w:rPr>
          <w:rFonts w:ascii="Times New Roman" w:hAnsi="Times New Roman" w:cs="Times New Roman"/>
          <w:sz w:val="24"/>
          <w:szCs w:val="24"/>
        </w:rPr>
        <w:t xml:space="preserve"> </w:t>
      </w:r>
      <w:r w:rsidRPr="009D10BF">
        <w:rPr>
          <w:rFonts w:ascii="Times New Roman" w:hAnsi="Times New Roman" w:cs="Times New Roman"/>
          <w:sz w:val="24"/>
          <w:szCs w:val="24"/>
        </w:rPr>
        <w:t xml:space="preserve">  </w:t>
      </w:r>
    </w:p>
    <w:p w:rsidR="0088152F" w:rsidRPr="009D10BF" w:rsidRDefault="00BF5AF5" w:rsidP="00DA4848">
      <w:pPr>
        <w:pStyle w:val="Rubrik4"/>
      </w:pPr>
      <w:r w:rsidRPr="009D10BF">
        <w:t>Jämställdhets- och åldersanalys</w:t>
      </w:r>
    </w:p>
    <w:p w:rsidR="00F404A7" w:rsidRPr="009D10BF" w:rsidRDefault="007D5618" w:rsidP="007D5618">
      <w:pPr>
        <w:rPr>
          <w:rFonts w:ascii="Times New Roman" w:hAnsi="Times New Roman" w:cs="Times New Roman"/>
          <w:sz w:val="24"/>
          <w:szCs w:val="24"/>
        </w:rPr>
      </w:pPr>
      <w:r w:rsidRPr="009D10BF">
        <w:rPr>
          <w:rFonts w:ascii="Times New Roman" w:hAnsi="Times New Roman" w:cs="Times New Roman"/>
          <w:sz w:val="24"/>
          <w:szCs w:val="24"/>
        </w:rPr>
        <w:t xml:space="preserve">Den undersökning som har gjorts visar att kvinnor i lägre utsträckning än män har lyckosamma ansökningar. År 2009 beviljades exempelvis medel till forskningstid till elva individer. Av dessa elva var </w:t>
      </w:r>
      <w:proofErr w:type="gramStart"/>
      <w:r w:rsidRPr="009D10BF">
        <w:rPr>
          <w:rFonts w:ascii="Times New Roman" w:hAnsi="Times New Roman" w:cs="Times New Roman"/>
          <w:sz w:val="24"/>
          <w:szCs w:val="24"/>
        </w:rPr>
        <w:t>blott</w:t>
      </w:r>
      <w:proofErr w:type="gramEnd"/>
      <w:r w:rsidRPr="009D10BF">
        <w:rPr>
          <w:rFonts w:ascii="Times New Roman" w:hAnsi="Times New Roman" w:cs="Times New Roman"/>
          <w:sz w:val="24"/>
          <w:szCs w:val="24"/>
        </w:rPr>
        <w:t xml:space="preserve"> två kvinnor, trots att </w:t>
      </w:r>
      <w:r w:rsidR="00416C90">
        <w:rPr>
          <w:rFonts w:ascii="Times New Roman" w:hAnsi="Times New Roman" w:cs="Times New Roman"/>
          <w:sz w:val="24"/>
          <w:szCs w:val="24"/>
        </w:rPr>
        <w:t>40 procent av de</w:t>
      </w:r>
      <w:r w:rsidR="00F404A7" w:rsidRPr="009D10BF">
        <w:rPr>
          <w:rFonts w:ascii="Times New Roman" w:hAnsi="Times New Roman" w:cs="Times New Roman"/>
          <w:sz w:val="24"/>
          <w:szCs w:val="24"/>
        </w:rPr>
        <w:t xml:space="preserve"> sökande var kvinnor. Utfallet har varit liknande vid varje ansökningstillfälle, förutom ansökan för forskningstid 2010 (då fyra var kvinnor av fem som erhöll medel). </w:t>
      </w:r>
      <w:r w:rsidR="00416C90">
        <w:rPr>
          <w:rFonts w:ascii="Times New Roman" w:hAnsi="Times New Roman" w:cs="Times New Roman"/>
          <w:sz w:val="24"/>
          <w:szCs w:val="24"/>
        </w:rPr>
        <w:t>Utvärderingen</w:t>
      </w:r>
      <w:r w:rsidR="00F404A7" w:rsidRPr="009D10BF">
        <w:rPr>
          <w:rFonts w:ascii="Times New Roman" w:hAnsi="Times New Roman" w:cs="Times New Roman"/>
          <w:sz w:val="24"/>
          <w:szCs w:val="24"/>
        </w:rPr>
        <w:t xml:space="preserve"> visar också att det finns ett statistiskt samband mellan kön och möjligheten till en lyckosam ansökan. Män har drygt tre gånger så stor </w:t>
      </w:r>
      <w:r w:rsidR="00416C90">
        <w:rPr>
          <w:rFonts w:ascii="Times New Roman" w:hAnsi="Times New Roman" w:cs="Times New Roman"/>
          <w:sz w:val="24"/>
          <w:szCs w:val="24"/>
        </w:rPr>
        <w:t>sannolikhet</w:t>
      </w:r>
      <w:r w:rsidR="00F404A7" w:rsidRPr="009D10BF">
        <w:rPr>
          <w:rFonts w:ascii="Times New Roman" w:hAnsi="Times New Roman" w:cs="Times New Roman"/>
          <w:sz w:val="24"/>
          <w:szCs w:val="24"/>
        </w:rPr>
        <w:t xml:space="preserve"> att erhålla medel än vad kvinnor har. Men det finns andra faktorer som är </w:t>
      </w:r>
      <w:r w:rsidR="00416C90">
        <w:rPr>
          <w:rFonts w:ascii="Times New Roman" w:hAnsi="Times New Roman" w:cs="Times New Roman"/>
          <w:sz w:val="24"/>
          <w:szCs w:val="24"/>
        </w:rPr>
        <w:t>mer</w:t>
      </w:r>
      <w:r w:rsidR="00F404A7" w:rsidRPr="009D10BF">
        <w:rPr>
          <w:rFonts w:ascii="Times New Roman" w:hAnsi="Times New Roman" w:cs="Times New Roman"/>
          <w:sz w:val="24"/>
          <w:szCs w:val="24"/>
        </w:rPr>
        <w:t xml:space="preserve"> betydelsefulla än vad kön är. Docenter har </w:t>
      </w:r>
      <w:r w:rsidR="00416C90">
        <w:rPr>
          <w:rFonts w:ascii="Times New Roman" w:hAnsi="Times New Roman" w:cs="Times New Roman"/>
          <w:sz w:val="24"/>
          <w:szCs w:val="24"/>
        </w:rPr>
        <w:t>knappt</w:t>
      </w:r>
      <w:r w:rsidR="00F404A7" w:rsidRPr="009D10BF">
        <w:rPr>
          <w:rFonts w:ascii="Times New Roman" w:hAnsi="Times New Roman" w:cs="Times New Roman"/>
          <w:sz w:val="24"/>
          <w:szCs w:val="24"/>
        </w:rPr>
        <w:t xml:space="preserve"> fyra gånger så stor </w:t>
      </w:r>
      <w:r w:rsidR="00416C90">
        <w:rPr>
          <w:rFonts w:ascii="Times New Roman" w:hAnsi="Times New Roman" w:cs="Times New Roman"/>
          <w:sz w:val="24"/>
          <w:szCs w:val="24"/>
        </w:rPr>
        <w:t>sannolikhet</w:t>
      </w:r>
      <w:r w:rsidR="00F404A7" w:rsidRPr="009D10BF">
        <w:rPr>
          <w:rFonts w:ascii="Times New Roman" w:hAnsi="Times New Roman" w:cs="Times New Roman"/>
          <w:sz w:val="24"/>
          <w:szCs w:val="24"/>
        </w:rPr>
        <w:t xml:space="preserve"> att erhålla medel för forskningstid än vad de som inte är docenter har. Professorer har nära två och en halv gånger så stor chans att erhålla medel jämfört med docenter och doktorer. När det gäller ansökningar för postdoktorer och doktorander synes professorskompetens vara än mer utslagsgivande. </w:t>
      </w:r>
      <w:r w:rsidR="00507CB7" w:rsidRPr="009D10BF">
        <w:rPr>
          <w:rFonts w:ascii="Times New Roman" w:hAnsi="Times New Roman" w:cs="Times New Roman"/>
          <w:sz w:val="24"/>
          <w:szCs w:val="24"/>
        </w:rPr>
        <w:t xml:space="preserve">Ju fler faktorer utöver kön som inkluderas, såsom ålder och akademisk titel, desto mindre signifikant blir sambanden mellan könstillhörighet och lyckosamma ansökningar.   </w:t>
      </w:r>
    </w:p>
    <w:p w:rsidR="00507CB7" w:rsidRPr="009D10BF" w:rsidRDefault="00F404A7" w:rsidP="007D5618">
      <w:pPr>
        <w:rPr>
          <w:rFonts w:ascii="Times New Roman" w:hAnsi="Times New Roman" w:cs="Times New Roman"/>
          <w:sz w:val="24"/>
          <w:szCs w:val="24"/>
        </w:rPr>
      </w:pPr>
      <w:r w:rsidRPr="009D10BF">
        <w:rPr>
          <w:rFonts w:ascii="Times New Roman" w:hAnsi="Times New Roman" w:cs="Times New Roman"/>
          <w:sz w:val="24"/>
          <w:szCs w:val="24"/>
        </w:rPr>
        <w:t xml:space="preserve">Däremot tycks inte ”akademisk ålder”, det vill säga antal år från disputation till ansökningstillfället, påverka sannolikheten för att erhålla medel. Det tycks dock finnas ett visst statistiskt samband </w:t>
      </w:r>
      <w:r w:rsidR="00507CB7" w:rsidRPr="009D10BF">
        <w:rPr>
          <w:rFonts w:ascii="Times New Roman" w:hAnsi="Times New Roman" w:cs="Times New Roman"/>
          <w:sz w:val="24"/>
          <w:szCs w:val="24"/>
        </w:rPr>
        <w:t xml:space="preserve">mellan att ha disputerat fem till nio år före ansökningstillfället och att bli </w:t>
      </w:r>
      <w:proofErr w:type="gramStart"/>
      <w:r w:rsidR="00507CB7" w:rsidRPr="009D10BF">
        <w:rPr>
          <w:rFonts w:ascii="Times New Roman" w:hAnsi="Times New Roman" w:cs="Times New Roman"/>
          <w:sz w:val="24"/>
          <w:szCs w:val="24"/>
        </w:rPr>
        <w:t>beviljad</w:t>
      </w:r>
      <w:proofErr w:type="gramEnd"/>
      <w:r w:rsidR="00507CB7" w:rsidRPr="009D10BF">
        <w:rPr>
          <w:rFonts w:ascii="Times New Roman" w:hAnsi="Times New Roman" w:cs="Times New Roman"/>
          <w:sz w:val="24"/>
          <w:szCs w:val="24"/>
        </w:rPr>
        <w:t xml:space="preserve"> medel. Den som disputerade för mer än nio år före ansökningstillfället har inte en statistisk fördel gentemot de övriga sökande.</w:t>
      </w:r>
    </w:p>
    <w:p w:rsidR="00507CB7" w:rsidRPr="009D10BF" w:rsidRDefault="00ED14EE" w:rsidP="00DA4848">
      <w:pPr>
        <w:pStyle w:val="Rubrik4"/>
      </w:pPr>
      <w:r w:rsidRPr="009D10BF">
        <w:t>Enkätresultat</w:t>
      </w:r>
    </w:p>
    <w:p w:rsidR="00CF6FFB" w:rsidRPr="009D10BF" w:rsidRDefault="00507CB7" w:rsidP="00507CB7">
      <w:pPr>
        <w:rPr>
          <w:rFonts w:ascii="Times New Roman" w:hAnsi="Times New Roman" w:cs="Times New Roman"/>
          <w:sz w:val="24"/>
          <w:szCs w:val="24"/>
        </w:rPr>
      </w:pPr>
      <w:r w:rsidRPr="009D10BF">
        <w:rPr>
          <w:rFonts w:ascii="Times New Roman" w:hAnsi="Times New Roman" w:cs="Times New Roman"/>
          <w:sz w:val="24"/>
          <w:szCs w:val="24"/>
        </w:rPr>
        <w:t xml:space="preserve">Till denna rapport bifogas också resultatet av den utvärdering som genomfördes under februari </w:t>
      </w:r>
      <w:r w:rsidR="00ED14EE" w:rsidRPr="009D10BF">
        <w:rPr>
          <w:rFonts w:ascii="Times New Roman" w:hAnsi="Times New Roman" w:cs="Times New Roman"/>
          <w:sz w:val="24"/>
          <w:szCs w:val="24"/>
        </w:rPr>
        <w:t>månad 2011. Den gick ut till 145</w:t>
      </w:r>
      <w:r w:rsidRPr="009D10BF">
        <w:rPr>
          <w:rFonts w:ascii="Times New Roman" w:hAnsi="Times New Roman" w:cs="Times New Roman"/>
          <w:sz w:val="24"/>
          <w:szCs w:val="24"/>
        </w:rPr>
        <w:t xml:space="preserve"> anställda på humanistisk fakultet och andelen </w:t>
      </w:r>
      <w:r w:rsidR="00CF6FFB" w:rsidRPr="009D10BF">
        <w:rPr>
          <w:rFonts w:ascii="Times New Roman" w:hAnsi="Times New Roman" w:cs="Times New Roman"/>
          <w:sz w:val="24"/>
          <w:szCs w:val="24"/>
        </w:rPr>
        <w:t xml:space="preserve">som </w:t>
      </w:r>
      <w:r w:rsidRPr="009D10BF">
        <w:rPr>
          <w:rFonts w:ascii="Times New Roman" w:hAnsi="Times New Roman" w:cs="Times New Roman"/>
          <w:sz w:val="24"/>
          <w:szCs w:val="24"/>
        </w:rPr>
        <w:t xml:space="preserve">besvarade </w:t>
      </w:r>
      <w:r w:rsidR="00ED14EE" w:rsidRPr="009D10BF">
        <w:rPr>
          <w:rFonts w:ascii="Times New Roman" w:hAnsi="Times New Roman" w:cs="Times New Roman"/>
          <w:sz w:val="24"/>
          <w:szCs w:val="24"/>
        </w:rPr>
        <w:t xml:space="preserve">enkäter var 54 procent. </w:t>
      </w:r>
      <w:r w:rsidRPr="009D10BF">
        <w:rPr>
          <w:rFonts w:ascii="Times New Roman" w:hAnsi="Times New Roman" w:cs="Times New Roman"/>
          <w:sz w:val="24"/>
          <w:szCs w:val="24"/>
        </w:rPr>
        <w:t xml:space="preserve"> </w:t>
      </w:r>
      <w:r w:rsidR="00ED14EE" w:rsidRPr="009D10BF">
        <w:rPr>
          <w:rFonts w:ascii="Times New Roman" w:hAnsi="Times New Roman" w:cs="Times New Roman"/>
          <w:sz w:val="24"/>
          <w:szCs w:val="24"/>
        </w:rPr>
        <w:t>Det framgick av enkäten att 62 procent hade vid något tillfälle ansökt om kvalitetsbaserade resursmedel. Av dessa hade 39 procent fått sin ansökan avslagen.  Flertalet av de som besvarade enkäten hade alltså</w:t>
      </w:r>
      <w:r w:rsidR="00416C90">
        <w:rPr>
          <w:rFonts w:ascii="Times New Roman" w:hAnsi="Times New Roman" w:cs="Times New Roman"/>
          <w:sz w:val="24"/>
          <w:szCs w:val="24"/>
        </w:rPr>
        <w:t xml:space="preserve"> antingen</w:t>
      </w:r>
      <w:r w:rsidR="00ED14EE" w:rsidRPr="009D10BF">
        <w:rPr>
          <w:rFonts w:ascii="Times New Roman" w:hAnsi="Times New Roman" w:cs="Times New Roman"/>
          <w:sz w:val="24"/>
          <w:szCs w:val="24"/>
        </w:rPr>
        <w:t xml:space="preserve"> aldrig ansökt om medel eller inte erhå</w:t>
      </w:r>
      <w:r w:rsidR="00CF6FFB" w:rsidRPr="009D10BF">
        <w:rPr>
          <w:rFonts w:ascii="Times New Roman" w:hAnsi="Times New Roman" w:cs="Times New Roman"/>
          <w:sz w:val="24"/>
          <w:szCs w:val="24"/>
        </w:rPr>
        <w:t>llit medel efter ansökan</w:t>
      </w:r>
      <w:r w:rsidR="00ED14EE" w:rsidRPr="009D10BF">
        <w:rPr>
          <w:rFonts w:ascii="Times New Roman" w:hAnsi="Times New Roman" w:cs="Times New Roman"/>
          <w:sz w:val="24"/>
          <w:szCs w:val="24"/>
        </w:rPr>
        <w:t>.</w:t>
      </w:r>
    </w:p>
    <w:p w:rsidR="004E2CB1" w:rsidRPr="009D10BF" w:rsidRDefault="00CF6FFB" w:rsidP="00507CB7">
      <w:pPr>
        <w:rPr>
          <w:rFonts w:ascii="Times New Roman" w:hAnsi="Times New Roman" w:cs="Times New Roman"/>
          <w:sz w:val="24"/>
          <w:szCs w:val="24"/>
        </w:rPr>
      </w:pPr>
      <w:r w:rsidRPr="009D10BF">
        <w:rPr>
          <w:rFonts w:ascii="Times New Roman" w:hAnsi="Times New Roman" w:cs="Times New Roman"/>
          <w:sz w:val="24"/>
          <w:szCs w:val="24"/>
        </w:rPr>
        <w:t>Det kan finnas anledning att här uppmärksamma några av enkätens resu</w:t>
      </w:r>
      <w:r w:rsidR="000F4BB6">
        <w:rPr>
          <w:rFonts w:ascii="Times New Roman" w:hAnsi="Times New Roman" w:cs="Times New Roman"/>
          <w:sz w:val="24"/>
          <w:szCs w:val="24"/>
        </w:rPr>
        <w:t>ltat som rör i vad mån resurstill</w:t>
      </w:r>
      <w:r w:rsidRPr="009D10BF">
        <w:rPr>
          <w:rFonts w:ascii="Times New Roman" w:hAnsi="Times New Roman" w:cs="Times New Roman"/>
          <w:sz w:val="24"/>
          <w:szCs w:val="24"/>
        </w:rPr>
        <w:t>delningssystemet har förändrat arbets-och publiceringssättet bland fakultetens anställda. En tredjed</w:t>
      </w:r>
      <w:r w:rsidR="000F4BB6">
        <w:rPr>
          <w:rFonts w:ascii="Times New Roman" w:hAnsi="Times New Roman" w:cs="Times New Roman"/>
          <w:sz w:val="24"/>
          <w:szCs w:val="24"/>
        </w:rPr>
        <w:t>el tycker sig anse att resurstill</w:t>
      </w:r>
      <w:r w:rsidRPr="009D10BF">
        <w:rPr>
          <w:rFonts w:ascii="Times New Roman" w:hAnsi="Times New Roman" w:cs="Times New Roman"/>
          <w:sz w:val="24"/>
          <w:szCs w:val="24"/>
        </w:rPr>
        <w:t xml:space="preserve">delningssystemet har påverkat deras publiceringsfrekvens positivt. 42 </w:t>
      </w:r>
      <w:r w:rsidR="00D308F9" w:rsidRPr="009D10BF">
        <w:rPr>
          <w:rFonts w:ascii="Times New Roman" w:hAnsi="Times New Roman" w:cs="Times New Roman"/>
          <w:sz w:val="24"/>
          <w:szCs w:val="24"/>
        </w:rPr>
        <w:t xml:space="preserve">procent </w:t>
      </w:r>
      <w:r w:rsidRPr="009D10BF">
        <w:rPr>
          <w:rFonts w:ascii="Times New Roman" w:hAnsi="Times New Roman" w:cs="Times New Roman"/>
          <w:sz w:val="24"/>
          <w:szCs w:val="24"/>
        </w:rPr>
        <w:t>anser</w:t>
      </w:r>
      <w:r w:rsidR="00D308F9" w:rsidRPr="009D10BF">
        <w:rPr>
          <w:rFonts w:ascii="Times New Roman" w:hAnsi="Times New Roman" w:cs="Times New Roman"/>
          <w:sz w:val="24"/>
          <w:szCs w:val="24"/>
        </w:rPr>
        <w:t xml:space="preserve"> också att systemet har påverkat var man väljer att publicera sig. Däremot förefaller systemet i mindre grad ha påverkar arbetssättet. Man tycks anse att man lägger ner uppskattningsvis lika mycket tid på en forskningsuppgift efter </w:t>
      </w:r>
      <w:r w:rsidR="00D308F9" w:rsidRPr="009D10BF">
        <w:rPr>
          <w:rFonts w:ascii="Times New Roman" w:hAnsi="Times New Roman" w:cs="Times New Roman"/>
          <w:sz w:val="24"/>
          <w:szCs w:val="24"/>
        </w:rPr>
        <w:lastRenderedPageBreak/>
        <w:t>att systemet infördes som före dess införande. Flertalet (68 procent) tycker inte att systemet har inverkat menligt på kvaliteten i forskningen. Antalet som anser att kvaliteten i forskningen har höjts i och med systemets införande är ungefär lika många som anser att kvaliteten har försämrats.</w:t>
      </w:r>
    </w:p>
    <w:p w:rsidR="008E5907" w:rsidRPr="009D10BF" w:rsidRDefault="004E2CB1" w:rsidP="00507CB7">
      <w:pPr>
        <w:rPr>
          <w:rFonts w:ascii="Times New Roman" w:hAnsi="Times New Roman" w:cs="Times New Roman"/>
          <w:sz w:val="24"/>
          <w:szCs w:val="24"/>
        </w:rPr>
      </w:pPr>
      <w:r w:rsidRPr="009D10BF">
        <w:rPr>
          <w:rFonts w:ascii="Times New Roman" w:hAnsi="Times New Roman" w:cs="Times New Roman"/>
          <w:sz w:val="24"/>
          <w:szCs w:val="24"/>
        </w:rPr>
        <w:t xml:space="preserve">Påfallande många anser dock att systemet har påverkat arbetsklimatet negativt. Systemet tycks i mindre utsträckning ha påverkat </w:t>
      </w:r>
      <w:r w:rsidRPr="009D10BF">
        <w:rPr>
          <w:rFonts w:ascii="Times New Roman" w:hAnsi="Times New Roman" w:cs="Times New Roman"/>
          <w:i/>
          <w:sz w:val="24"/>
          <w:szCs w:val="24"/>
        </w:rPr>
        <w:t>hur</w:t>
      </w:r>
      <w:r w:rsidRPr="009D10BF">
        <w:rPr>
          <w:rFonts w:ascii="Times New Roman" w:hAnsi="Times New Roman" w:cs="Times New Roman"/>
          <w:sz w:val="24"/>
          <w:szCs w:val="24"/>
        </w:rPr>
        <w:t xml:space="preserve"> man arbetar, men desto mer hur man </w:t>
      </w:r>
      <w:r w:rsidRPr="009D10BF">
        <w:rPr>
          <w:rFonts w:ascii="Times New Roman" w:hAnsi="Times New Roman" w:cs="Times New Roman"/>
          <w:i/>
          <w:sz w:val="24"/>
          <w:szCs w:val="24"/>
        </w:rPr>
        <w:t xml:space="preserve">upplever </w:t>
      </w:r>
      <w:r w:rsidRPr="009D10BF">
        <w:rPr>
          <w:rFonts w:ascii="Times New Roman" w:hAnsi="Times New Roman" w:cs="Times New Roman"/>
          <w:sz w:val="24"/>
          <w:szCs w:val="24"/>
        </w:rPr>
        <w:t>arbetet. Ungefär en tredjedel upplever att den psykosociala arbetssituationen och hur de upplever sitt arbete har påverkats negativt el</w:t>
      </w:r>
      <w:r w:rsidR="000F4BB6">
        <w:rPr>
          <w:rFonts w:ascii="Times New Roman" w:hAnsi="Times New Roman" w:cs="Times New Roman"/>
          <w:sz w:val="24"/>
          <w:szCs w:val="24"/>
        </w:rPr>
        <w:t>ler mycket negativt av resurstill</w:t>
      </w:r>
      <w:r w:rsidRPr="009D10BF">
        <w:rPr>
          <w:rFonts w:ascii="Times New Roman" w:hAnsi="Times New Roman" w:cs="Times New Roman"/>
          <w:sz w:val="24"/>
          <w:szCs w:val="24"/>
        </w:rPr>
        <w:t>delningssystemet.</w:t>
      </w:r>
      <w:r w:rsidR="00D308F9" w:rsidRPr="009D10BF">
        <w:rPr>
          <w:rFonts w:ascii="Times New Roman" w:hAnsi="Times New Roman" w:cs="Times New Roman"/>
          <w:sz w:val="24"/>
          <w:szCs w:val="24"/>
        </w:rPr>
        <w:t xml:space="preserve"> </w:t>
      </w:r>
      <w:r w:rsidR="00903EFF" w:rsidRPr="009D10BF">
        <w:rPr>
          <w:rFonts w:ascii="Times New Roman" w:hAnsi="Times New Roman" w:cs="Times New Roman"/>
          <w:sz w:val="24"/>
          <w:szCs w:val="24"/>
        </w:rPr>
        <w:t>Det är svårt att genom denna enkät veta mer utförligt på vilket sätt som man upplever att arbetssituationen har försämrats. Någon vägledning erhålls trolig</w:t>
      </w:r>
      <w:r w:rsidR="00416C90">
        <w:rPr>
          <w:rFonts w:ascii="Times New Roman" w:hAnsi="Times New Roman" w:cs="Times New Roman"/>
          <w:sz w:val="24"/>
          <w:szCs w:val="24"/>
        </w:rPr>
        <w:t>igen</w:t>
      </w:r>
      <w:r w:rsidR="00903EFF" w:rsidRPr="009D10BF">
        <w:rPr>
          <w:rFonts w:ascii="Times New Roman" w:hAnsi="Times New Roman" w:cs="Times New Roman"/>
          <w:sz w:val="24"/>
          <w:szCs w:val="24"/>
        </w:rPr>
        <w:t xml:space="preserve"> bland de till antalet rikliga fria kommentarerna (sammanlagt 65 kommentarer) som lämnats i anslutning till frågorna om arbetsklimatet. Bland dessa kommentarer märks </w:t>
      </w:r>
      <w:r w:rsidR="008E5907" w:rsidRPr="009D10BF">
        <w:rPr>
          <w:rFonts w:ascii="Times New Roman" w:hAnsi="Times New Roman" w:cs="Times New Roman"/>
          <w:sz w:val="24"/>
          <w:szCs w:val="24"/>
        </w:rPr>
        <w:t xml:space="preserve">att många upplever </w:t>
      </w:r>
      <w:r w:rsidR="008A61B7" w:rsidRPr="009D10BF">
        <w:rPr>
          <w:rFonts w:ascii="Times New Roman" w:hAnsi="Times New Roman" w:cs="Times New Roman"/>
          <w:sz w:val="24"/>
          <w:szCs w:val="24"/>
        </w:rPr>
        <w:t xml:space="preserve">en </w:t>
      </w:r>
      <w:r w:rsidR="00903EFF" w:rsidRPr="009D10BF">
        <w:rPr>
          <w:rFonts w:ascii="Times New Roman" w:hAnsi="Times New Roman" w:cs="Times New Roman"/>
          <w:sz w:val="24"/>
          <w:szCs w:val="24"/>
        </w:rPr>
        <w:t xml:space="preserve">ökad </w:t>
      </w:r>
      <w:r w:rsidR="008A61B7" w:rsidRPr="009D10BF">
        <w:rPr>
          <w:rFonts w:ascii="Times New Roman" w:hAnsi="Times New Roman" w:cs="Times New Roman"/>
          <w:i/>
          <w:sz w:val="24"/>
          <w:szCs w:val="24"/>
        </w:rPr>
        <w:t>individuell</w:t>
      </w:r>
      <w:r w:rsidR="008A61B7" w:rsidRPr="009D10BF">
        <w:rPr>
          <w:rFonts w:ascii="Times New Roman" w:hAnsi="Times New Roman" w:cs="Times New Roman"/>
          <w:sz w:val="24"/>
          <w:szCs w:val="24"/>
        </w:rPr>
        <w:t xml:space="preserve"> </w:t>
      </w:r>
      <w:r w:rsidR="00903EFF" w:rsidRPr="009D10BF">
        <w:rPr>
          <w:rFonts w:ascii="Times New Roman" w:hAnsi="Times New Roman" w:cs="Times New Roman"/>
          <w:sz w:val="24"/>
          <w:szCs w:val="24"/>
        </w:rPr>
        <w:t xml:space="preserve">stress och press </w:t>
      </w:r>
      <w:r w:rsidR="008A61B7" w:rsidRPr="009D10BF">
        <w:rPr>
          <w:rFonts w:ascii="Times New Roman" w:hAnsi="Times New Roman" w:cs="Times New Roman"/>
          <w:sz w:val="24"/>
          <w:szCs w:val="24"/>
        </w:rPr>
        <w:t xml:space="preserve">i arbetet. Andra tycks vara mer frustrerade över ogynnsamma </w:t>
      </w:r>
      <w:r w:rsidR="008A61B7" w:rsidRPr="009D10BF">
        <w:rPr>
          <w:rFonts w:ascii="Times New Roman" w:hAnsi="Times New Roman" w:cs="Times New Roman"/>
          <w:i/>
          <w:sz w:val="24"/>
          <w:szCs w:val="24"/>
        </w:rPr>
        <w:t>strukturer</w:t>
      </w:r>
      <w:r w:rsidR="008A61B7" w:rsidRPr="009D10BF">
        <w:rPr>
          <w:rFonts w:ascii="Times New Roman" w:hAnsi="Times New Roman" w:cs="Times New Roman"/>
          <w:sz w:val="24"/>
          <w:szCs w:val="24"/>
        </w:rPr>
        <w:t xml:space="preserve"> i systemet. Det kan röra hur systemet missgynnar vissa sorters av arbetsuppgifter, såsom forskningsledning, handledning och allehanda förtroendeuppdrag, eller att vissa grupper av anställda omhuldas </w:t>
      </w:r>
      <w:r w:rsidR="008E5907" w:rsidRPr="009D10BF">
        <w:rPr>
          <w:rFonts w:ascii="Times New Roman" w:hAnsi="Times New Roman" w:cs="Times New Roman"/>
          <w:sz w:val="24"/>
          <w:szCs w:val="24"/>
        </w:rPr>
        <w:t>av systemet, medan andra missgynnas.</w:t>
      </w:r>
    </w:p>
    <w:p w:rsidR="008E5907" w:rsidRPr="009D10BF" w:rsidRDefault="008E5907" w:rsidP="00B9275D">
      <w:pPr>
        <w:pStyle w:val="Rubrik2"/>
        <w:numPr>
          <w:ilvl w:val="0"/>
          <w:numId w:val="3"/>
        </w:numPr>
        <w:rPr>
          <w:rFonts w:ascii="Times New Roman" w:hAnsi="Times New Roman" w:cs="Times New Roman"/>
          <w:sz w:val="24"/>
          <w:szCs w:val="24"/>
        </w:rPr>
      </w:pPr>
      <w:r w:rsidRPr="009D10BF">
        <w:rPr>
          <w:rFonts w:ascii="Times New Roman" w:hAnsi="Times New Roman" w:cs="Times New Roman"/>
          <w:sz w:val="24"/>
          <w:szCs w:val="24"/>
        </w:rPr>
        <w:t>Några iakttagelser och förslag</w:t>
      </w:r>
    </w:p>
    <w:p w:rsidR="00CF6FFB" w:rsidRPr="009D10BF" w:rsidRDefault="008E5907" w:rsidP="008E5907">
      <w:pPr>
        <w:rPr>
          <w:rFonts w:ascii="Times New Roman" w:hAnsi="Times New Roman" w:cs="Times New Roman"/>
          <w:sz w:val="24"/>
          <w:szCs w:val="24"/>
        </w:rPr>
      </w:pPr>
      <w:r w:rsidRPr="009D10BF">
        <w:rPr>
          <w:rFonts w:ascii="Times New Roman" w:hAnsi="Times New Roman" w:cs="Times New Roman"/>
          <w:sz w:val="24"/>
          <w:szCs w:val="24"/>
        </w:rPr>
        <w:t>Avslutningsvis vill jag presentera några förslag till förändringar och förbättringar som jag anser att denna utvärdering ger mig möjligheter till. Förändringsförslagen är på inget sätt sådana att de påtagligt för</w:t>
      </w:r>
      <w:r w:rsidR="000F4BB6">
        <w:rPr>
          <w:rFonts w:ascii="Times New Roman" w:hAnsi="Times New Roman" w:cs="Times New Roman"/>
          <w:sz w:val="24"/>
          <w:szCs w:val="24"/>
        </w:rPr>
        <w:t>ändrar principerna för resurstill</w:t>
      </w:r>
      <w:r w:rsidRPr="009D10BF">
        <w:rPr>
          <w:rFonts w:ascii="Times New Roman" w:hAnsi="Times New Roman" w:cs="Times New Roman"/>
          <w:sz w:val="24"/>
          <w:szCs w:val="24"/>
        </w:rPr>
        <w:t xml:space="preserve">delningssystemet utan snarare kompletterar – och förhoppningsvis – förbättrar några </w:t>
      </w:r>
      <w:r w:rsidR="004B694A" w:rsidRPr="009D10BF">
        <w:rPr>
          <w:rFonts w:ascii="Times New Roman" w:hAnsi="Times New Roman" w:cs="Times New Roman"/>
          <w:sz w:val="24"/>
          <w:szCs w:val="24"/>
        </w:rPr>
        <w:t>aspekter</w:t>
      </w:r>
      <w:r w:rsidRPr="009D10BF">
        <w:rPr>
          <w:rFonts w:ascii="Times New Roman" w:hAnsi="Times New Roman" w:cs="Times New Roman"/>
          <w:sz w:val="24"/>
          <w:szCs w:val="24"/>
        </w:rPr>
        <w:t>.</w:t>
      </w:r>
      <w:r w:rsidR="004B694A" w:rsidRPr="009D10BF">
        <w:rPr>
          <w:rFonts w:ascii="Times New Roman" w:hAnsi="Times New Roman" w:cs="Times New Roman"/>
          <w:sz w:val="24"/>
          <w:szCs w:val="24"/>
        </w:rPr>
        <w:t xml:space="preserve"> </w:t>
      </w:r>
    </w:p>
    <w:p w:rsidR="004B694A" w:rsidRPr="009D10BF" w:rsidRDefault="004B694A" w:rsidP="004B694A">
      <w:pPr>
        <w:pStyle w:val="Liststycke"/>
        <w:numPr>
          <w:ilvl w:val="0"/>
          <w:numId w:val="2"/>
        </w:numPr>
        <w:rPr>
          <w:rFonts w:ascii="Times New Roman" w:hAnsi="Times New Roman" w:cs="Times New Roman"/>
          <w:b/>
          <w:sz w:val="24"/>
          <w:szCs w:val="24"/>
        </w:rPr>
      </w:pPr>
      <w:r w:rsidRPr="009D10BF">
        <w:rPr>
          <w:rFonts w:ascii="Times New Roman" w:hAnsi="Times New Roman" w:cs="Times New Roman"/>
          <w:b/>
          <w:sz w:val="24"/>
          <w:szCs w:val="24"/>
        </w:rPr>
        <w:t>Ensidigt publiceringssätt får stort genomslag</w:t>
      </w:r>
    </w:p>
    <w:p w:rsidR="00202DAF" w:rsidRPr="009D10BF" w:rsidRDefault="004B694A" w:rsidP="004B694A">
      <w:pPr>
        <w:ind w:left="360"/>
        <w:rPr>
          <w:rFonts w:ascii="Times New Roman" w:hAnsi="Times New Roman" w:cs="Times New Roman"/>
          <w:sz w:val="24"/>
          <w:szCs w:val="24"/>
        </w:rPr>
      </w:pPr>
      <w:r w:rsidRPr="009D10BF">
        <w:rPr>
          <w:rFonts w:ascii="Times New Roman" w:hAnsi="Times New Roman" w:cs="Times New Roman"/>
          <w:sz w:val="24"/>
          <w:szCs w:val="24"/>
        </w:rPr>
        <w:t xml:space="preserve">Förslag: Jag tror det skulle vara angeläget att införa ett ”tak” på hur många publikationer av ett visst slag man kan tillgodoräkna sig. Jag tänker då närmast på recensioner och kortare encyklopediska artiklar. Visserligen ger recensioner ett ringa poängvärde i det nuvarande systemet men några sökande har åberopat så pass många recensioner att dessa, oräknat övriga publikationer, skulle leda till lyckosamma ansökningar. Det skall sägas att hittills har ingen erhållit medel uteslutande </w:t>
      </w:r>
      <w:r w:rsidRPr="009D10BF">
        <w:rPr>
          <w:rFonts w:ascii="Times New Roman" w:hAnsi="Times New Roman" w:cs="Times New Roman"/>
          <w:i/>
          <w:sz w:val="24"/>
          <w:szCs w:val="24"/>
        </w:rPr>
        <w:t>på grund av</w:t>
      </w:r>
      <w:r w:rsidRPr="009D10BF">
        <w:rPr>
          <w:rFonts w:ascii="Times New Roman" w:hAnsi="Times New Roman" w:cs="Times New Roman"/>
          <w:sz w:val="24"/>
          <w:szCs w:val="24"/>
        </w:rPr>
        <w:t xml:space="preserve"> osedvanl</w:t>
      </w:r>
      <w:r w:rsidR="00202DAF" w:rsidRPr="009D10BF">
        <w:rPr>
          <w:rFonts w:ascii="Times New Roman" w:hAnsi="Times New Roman" w:cs="Times New Roman"/>
          <w:sz w:val="24"/>
          <w:szCs w:val="24"/>
        </w:rPr>
        <w:t>igt flitigt recensionsskrivande. Det förefaller rimligt att kunna åberopa ett antal recensioner som forskningsmeriter – inte minst om det gäller recensioner som föranletts av opponentuppdrag – men det kan inte an</w:t>
      </w:r>
      <w:r w:rsidR="000F4BB6">
        <w:rPr>
          <w:rFonts w:ascii="Times New Roman" w:hAnsi="Times New Roman" w:cs="Times New Roman"/>
          <w:sz w:val="24"/>
          <w:szCs w:val="24"/>
        </w:rPr>
        <w:t>ses vara förenligt med resurstill</w:t>
      </w:r>
      <w:r w:rsidR="00202DAF" w:rsidRPr="009D10BF">
        <w:rPr>
          <w:rFonts w:ascii="Times New Roman" w:hAnsi="Times New Roman" w:cs="Times New Roman"/>
          <w:sz w:val="24"/>
          <w:szCs w:val="24"/>
        </w:rPr>
        <w:t>delningssystemets syften att uppmuntra recensionsskrivande och författandet av encyklopediska artiklar på bekostnad av annan forskningsverksamhet. Det förefaller rimligt att kunna åberopa endast nio recensioner (motsvarande tre varje år)per ansökan.</w:t>
      </w:r>
    </w:p>
    <w:p w:rsidR="00202DAF" w:rsidRPr="009D10BF" w:rsidRDefault="00202DAF" w:rsidP="00202DAF">
      <w:pPr>
        <w:pStyle w:val="Liststycke"/>
        <w:numPr>
          <w:ilvl w:val="0"/>
          <w:numId w:val="2"/>
        </w:numPr>
        <w:rPr>
          <w:rFonts w:ascii="Times New Roman" w:hAnsi="Times New Roman" w:cs="Times New Roman"/>
          <w:b/>
          <w:sz w:val="24"/>
          <w:szCs w:val="24"/>
        </w:rPr>
      </w:pPr>
      <w:r w:rsidRPr="009D10BF">
        <w:rPr>
          <w:rFonts w:ascii="Times New Roman" w:hAnsi="Times New Roman" w:cs="Times New Roman"/>
          <w:b/>
          <w:sz w:val="24"/>
          <w:szCs w:val="24"/>
        </w:rPr>
        <w:t>Forskare som publicerar många artiklar med samma eller delvis samma innehåll gynnas</w:t>
      </w:r>
      <w:r w:rsidR="00FE2429" w:rsidRPr="009D10BF">
        <w:rPr>
          <w:rFonts w:ascii="Times New Roman" w:hAnsi="Times New Roman" w:cs="Times New Roman"/>
          <w:b/>
          <w:sz w:val="24"/>
          <w:szCs w:val="24"/>
        </w:rPr>
        <w:t>.</w:t>
      </w:r>
    </w:p>
    <w:p w:rsidR="00F80F16" w:rsidRPr="009D10BF" w:rsidRDefault="00202DAF" w:rsidP="00202DAF">
      <w:pPr>
        <w:ind w:left="360"/>
        <w:rPr>
          <w:rFonts w:ascii="Times New Roman" w:hAnsi="Times New Roman" w:cs="Times New Roman"/>
          <w:sz w:val="24"/>
          <w:szCs w:val="24"/>
        </w:rPr>
      </w:pPr>
      <w:r w:rsidRPr="009D10BF">
        <w:rPr>
          <w:rFonts w:ascii="Times New Roman" w:hAnsi="Times New Roman" w:cs="Times New Roman"/>
          <w:sz w:val="24"/>
          <w:szCs w:val="24"/>
        </w:rPr>
        <w:t xml:space="preserve">Förslag: Till nästa ansökan skall den sökande själv redovisa om två eller flera av publikationerna har samma eller delvis samma innehåll. </w:t>
      </w:r>
      <w:r w:rsidR="00AD5346" w:rsidRPr="009D10BF">
        <w:rPr>
          <w:rFonts w:ascii="Times New Roman" w:hAnsi="Times New Roman" w:cs="Times New Roman"/>
          <w:sz w:val="24"/>
          <w:szCs w:val="24"/>
        </w:rPr>
        <w:t xml:space="preserve">Det är tänkt att vara en ”självdeklaration” som inte kommer att föranleda några </w:t>
      </w:r>
      <w:r w:rsidR="00F80F16" w:rsidRPr="009D10BF">
        <w:rPr>
          <w:rFonts w:ascii="Times New Roman" w:hAnsi="Times New Roman" w:cs="Times New Roman"/>
          <w:sz w:val="24"/>
          <w:szCs w:val="24"/>
        </w:rPr>
        <w:t xml:space="preserve">nya principer för hur den sökande tilldelas publiceringspoäng. Självdeklarationen är i första hand till för att på ett enkelt sätt </w:t>
      </w:r>
      <w:r w:rsidR="00F80F16" w:rsidRPr="009D10BF">
        <w:rPr>
          <w:rFonts w:ascii="Times New Roman" w:hAnsi="Times New Roman" w:cs="Times New Roman"/>
          <w:sz w:val="24"/>
          <w:szCs w:val="24"/>
        </w:rPr>
        <w:lastRenderedPageBreak/>
        <w:t xml:space="preserve">kunna få en uppfattning om hur ofta forskningsresultat återanvänds. Samtidigt kan man på sikt med större noggrannhet se om systemet kan sägas leda till en högra grad av återanvändning av forskningsresultat. I ett sådant skede kan fakulteten ta ställning till huruvida två eller flera publiceringar med samma eller delvis samma innehåll skall vara poänggivande eller inte. </w:t>
      </w:r>
    </w:p>
    <w:p w:rsidR="00AD5346" w:rsidRPr="009D10BF" w:rsidRDefault="00202DAF" w:rsidP="00202DAF">
      <w:pPr>
        <w:ind w:left="360"/>
        <w:rPr>
          <w:rFonts w:ascii="Times New Roman" w:hAnsi="Times New Roman" w:cs="Times New Roman"/>
          <w:sz w:val="24"/>
          <w:szCs w:val="24"/>
        </w:rPr>
      </w:pPr>
      <w:r w:rsidRPr="009D10BF">
        <w:rPr>
          <w:rFonts w:ascii="Times New Roman" w:hAnsi="Times New Roman" w:cs="Times New Roman"/>
          <w:sz w:val="24"/>
          <w:szCs w:val="24"/>
        </w:rPr>
        <w:t>I undersökningen har jag vid stickprov noterat att några sökande</w:t>
      </w:r>
      <w:r w:rsidR="00936321" w:rsidRPr="009D10BF">
        <w:rPr>
          <w:rFonts w:ascii="Times New Roman" w:hAnsi="Times New Roman" w:cs="Times New Roman"/>
          <w:sz w:val="24"/>
          <w:szCs w:val="24"/>
        </w:rPr>
        <w:t xml:space="preserve"> har åberopat flera artiklar som till tematik och innehåll har legat väldigt nära varandra. I flertalet av enkätsvaren har det uttryckts ett missnöje och en misstänksamhet mot att andra reproducerar sin forskning. 21 procent medgav också att de gjort det eller planerade att göra så framtiden. Jag vill understryka att detta förslag inte tar ställning till huruvida det är tillbörligt eller inte med reproduktion av forskningsresultat. Det som föreslås här </w:t>
      </w:r>
      <w:r w:rsidR="00FE2429" w:rsidRPr="009D10BF">
        <w:rPr>
          <w:rFonts w:ascii="Times New Roman" w:hAnsi="Times New Roman" w:cs="Times New Roman"/>
          <w:sz w:val="24"/>
          <w:szCs w:val="24"/>
        </w:rPr>
        <w:t>handlar</w:t>
      </w:r>
      <w:r w:rsidR="000F4BB6">
        <w:rPr>
          <w:rFonts w:ascii="Times New Roman" w:hAnsi="Times New Roman" w:cs="Times New Roman"/>
          <w:sz w:val="24"/>
          <w:szCs w:val="24"/>
        </w:rPr>
        <w:t xml:space="preserve"> om resurstill</w:t>
      </w:r>
      <w:r w:rsidR="00936321" w:rsidRPr="009D10BF">
        <w:rPr>
          <w:rFonts w:ascii="Times New Roman" w:hAnsi="Times New Roman" w:cs="Times New Roman"/>
          <w:sz w:val="24"/>
          <w:szCs w:val="24"/>
        </w:rPr>
        <w:t xml:space="preserve">delningssystemet skall gynna en sådan publiceringsstrategi eller inte. Man kan undra om det är förenligt med de syften som föranledde införandet av systemet. Å ena sidan förefaller systemet vilja belöna spridandet av forskningsresultat genom att tillgängliggöra dem på andra språk än det svenska språket. Det förefaller också belöna publicering i tidskrifter som är erkända och som har en vid läsekrets framför sådana mer okända och liten läsekrets. </w:t>
      </w:r>
      <w:r w:rsidR="00AD5346" w:rsidRPr="009D10BF">
        <w:rPr>
          <w:rFonts w:ascii="Times New Roman" w:hAnsi="Times New Roman" w:cs="Times New Roman"/>
          <w:sz w:val="24"/>
          <w:szCs w:val="24"/>
        </w:rPr>
        <w:t>Av det kan man förstå att genomslag är en viktigare kvalitet än någonting annat. Å andra sidan vill systemet uppmuntra till fler forskningsresultat och kvalitativt bättre forskning.</w:t>
      </w:r>
    </w:p>
    <w:p w:rsidR="00F80F16" w:rsidRPr="009D10BF" w:rsidRDefault="00FE2429" w:rsidP="00F80F16">
      <w:pPr>
        <w:pStyle w:val="Liststycke"/>
        <w:numPr>
          <w:ilvl w:val="0"/>
          <w:numId w:val="2"/>
        </w:numPr>
        <w:rPr>
          <w:rFonts w:ascii="Times New Roman" w:hAnsi="Times New Roman" w:cs="Times New Roman"/>
          <w:b/>
          <w:sz w:val="24"/>
          <w:szCs w:val="24"/>
        </w:rPr>
      </w:pPr>
      <w:r w:rsidRPr="009D10BF">
        <w:rPr>
          <w:rFonts w:ascii="Times New Roman" w:hAnsi="Times New Roman" w:cs="Times New Roman"/>
          <w:b/>
          <w:sz w:val="24"/>
          <w:szCs w:val="24"/>
        </w:rPr>
        <w:t>Postdoktorer/doktoran</w:t>
      </w:r>
      <w:r w:rsidR="000F4BB6">
        <w:rPr>
          <w:rFonts w:ascii="Times New Roman" w:hAnsi="Times New Roman" w:cs="Times New Roman"/>
          <w:b/>
          <w:sz w:val="24"/>
          <w:szCs w:val="24"/>
        </w:rPr>
        <w:t>der som finansieras av resurstill</w:t>
      </w:r>
      <w:r w:rsidRPr="009D10BF">
        <w:rPr>
          <w:rFonts w:ascii="Times New Roman" w:hAnsi="Times New Roman" w:cs="Times New Roman"/>
          <w:b/>
          <w:sz w:val="24"/>
          <w:szCs w:val="24"/>
        </w:rPr>
        <w:t xml:space="preserve">delningssystemet knyts inte till den forskare som fick ansökan beviljad. </w:t>
      </w:r>
    </w:p>
    <w:p w:rsidR="003F711E" w:rsidRPr="009D10BF" w:rsidRDefault="003F711E" w:rsidP="00FE2429">
      <w:pPr>
        <w:ind w:left="360"/>
        <w:rPr>
          <w:rFonts w:ascii="Times New Roman" w:hAnsi="Times New Roman" w:cs="Times New Roman"/>
          <w:sz w:val="24"/>
          <w:szCs w:val="24"/>
        </w:rPr>
      </w:pPr>
      <w:r w:rsidRPr="009D10BF">
        <w:rPr>
          <w:rFonts w:ascii="Times New Roman" w:hAnsi="Times New Roman" w:cs="Times New Roman"/>
          <w:sz w:val="24"/>
          <w:szCs w:val="24"/>
        </w:rPr>
        <w:t>Förslag: Kommande utlysningar av postdoktorer</w:t>
      </w:r>
      <w:r w:rsidR="000F4BB6">
        <w:rPr>
          <w:rFonts w:ascii="Times New Roman" w:hAnsi="Times New Roman" w:cs="Times New Roman"/>
          <w:sz w:val="24"/>
          <w:szCs w:val="24"/>
        </w:rPr>
        <w:t xml:space="preserve"> och doktorander genom resurstill</w:t>
      </w:r>
      <w:r w:rsidRPr="009D10BF">
        <w:rPr>
          <w:rFonts w:ascii="Times New Roman" w:hAnsi="Times New Roman" w:cs="Times New Roman"/>
          <w:sz w:val="24"/>
          <w:szCs w:val="24"/>
        </w:rPr>
        <w:t xml:space="preserve">delningssystemet bör tydligare göra gällande att blivande doktorander och postdoktorer är tänkta att förstärka en viss forskningsinriktning. Den nyanställde är till skillnad från tidigare lösare knuten till den sökande.  </w:t>
      </w:r>
    </w:p>
    <w:p w:rsidR="006C032F" w:rsidRPr="009D10BF" w:rsidRDefault="00FE2429" w:rsidP="00FE2429">
      <w:pPr>
        <w:ind w:left="360"/>
        <w:rPr>
          <w:rFonts w:ascii="Times New Roman" w:hAnsi="Times New Roman" w:cs="Times New Roman"/>
          <w:sz w:val="24"/>
          <w:szCs w:val="24"/>
        </w:rPr>
      </w:pPr>
      <w:r w:rsidRPr="009D10BF">
        <w:rPr>
          <w:rFonts w:ascii="Times New Roman" w:hAnsi="Times New Roman" w:cs="Times New Roman"/>
          <w:sz w:val="24"/>
          <w:szCs w:val="24"/>
        </w:rPr>
        <w:t xml:space="preserve">Det har framgått av enkätsvaren och av utvärderingen att många postdoktorer och doktorander har liten eller ingen anknytning till den forskare som fått medel. Många har ansett att postdoktorn eller doktoranden har bidragit lite eller inte alls till </w:t>
      </w:r>
      <w:r w:rsidR="003F711E" w:rsidRPr="009D10BF">
        <w:rPr>
          <w:rFonts w:ascii="Times New Roman" w:hAnsi="Times New Roman" w:cs="Times New Roman"/>
          <w:sz w:val="24"/>
          <w:szCs w:val="24"/>
        </w:rPr>
        <w:t>den sökande forskarens forskningsmeritering, eftersom de många gånger bedriver forskningen som inte ligger i anslutning till den sökandes direkta forskningsinriktning. I enkätsvaren framhåller andra att postdoktorerna och doktoranderna har varit värdefulla för att förstärka den forskningsinriktning som den sökande företräder i bredare mening.</w:t>
      </w:r>
    </w:p>
    <w:p w:rsidR="006C032F" w:rsidRPr="009D10BF" w:rsidRDefault="006C032F" w:rsidP="006C032F">
      <w:pPr>
        <w:pStyle w:val="Liststycke"/>
        <w:numPr>
          <w:ilvl w:val="0"/>
          <w:numId w:val="2"/>
        </w:numPr>
        <w:rPr>
          <w:rFonts w:ascii="Times New Roman" w:hAnsi="Times New Roman" w:cs="Times New Roman"/>
          <w:sz w:val="24"/>
          <w:szCs w:val="24"/>
        </w:rPr>
      </w:pPr>
      <w:r w:rsidRPr="009D10BF">
        <w:rPr>
          <w:rFonts w:ascii="Times New Roman" w:hAnsi="Times New Roman" w:cs="Times New Roman"/>
          <w:b/>
          <w:sz w:val="24"/>
          <w:szCs w:val="24"/>
        </w:rPr>
        <w:t>Erhållna externa medel får stort genomslag</w:t>
      </w:r>
    </w:p>
    <w:p w:rsidR="006C032F" w:rsidRPr="009D10BF" w:rsidRDefault="006C032F" w:rsidP="006C032F">
      <w:pPr>
        <w:ind w:firstLine="360"/>
        <w:rPr>
          <w:rFonts w:ascii="Times New Roman" w:hAnsi="Times New Roman" w:cs="Times New Roman"/>
          <w:sz w:val="24"/>
          <w:szCs w:val="24"/>
        </w:rPr>
      </w:pPr>
      <w:r w:rsidRPr="009D10BF">
        <w:rPr>
          <w:rFonts w:ascii="Times New Roman" w:hAnsi="Times New Roman" w:cs="Times New Roman"/>
          <w:sz w:val="24"/>
          <w:szCs w:val="24"/>
        </w:rPr>
        <w:t>Förslag: Vikta även externa medel i förhållande till forskningstid.</w:t>
      </w:r>
    </w:p>
    <w:p w:rsidR="00A61B42" w:rsidRPr="009D10BF" w:rsidRDefault="006C032F" w:rsidP="006C032F">
      <w:pPr>
        <w:ind w:firstLine="360"/>
        <w:rPr>
          <w:rFonts w:ascii="Times New Roman" w:hAnsi="Times New Roman" w:cs="Times New Roman"/>
          <w:sz w:val="24"/>
          <w:szCs w:val="24"/>
        </w:rPr>
      </w:pPr>
      <w:r w:rsidRPr="009D10BF">
        <w:rPr>
          <w:rFonts w:ascii="Times New Roman" w:hAnsi="Times New Roman" w:cs="Times New Roman"/>
          <w:sz w:val="24"/>
          <w:szCs w:val="24"/>
        </w:rPr>
        <w:t xml:space="preserve">En av anledningarna till </w:t>
      </w:r>
      <w:r w:rsidR="00A61B42" w:rsidRPr="009D10BF">
        <w:rPr>
          <w:rFonts w:ascii="Times New Roman" w:hAnsi="Times New Roman" w:cs="Times New Roman"/>
          <w:sz w:val="24"/>
          <w:szCs w:val="24"/>
        </w:rPr>
        <w:t xml:space="preserve">det </w:t>
      </w:r>
      <w:r w:rsidR="000F4BB6">
        <w:rPr>
          <w:rFonts w:ascii="Times New Roman" w:hAnsi="Times New Roman" w:cs="Times New Roman"/>
          <w:sz w:val="24"/>
          <w:szCs w:val="24"/>
        </w:rPr>
        <w:t>missnöje med resurstill</w:t>
      </w:r>
      <w:r w:rsidRPr="009D10BF">
        <w:rPr>
          <w:rFonts w:ascii="Times New Roman" w:hAnsi="Times New Roman" w:cs="Times New Roman"/>
          <w:sz w:val="24"/>
          <w:szCs w:val="24"/>
        </w:rPr>
        <w:t xml:space="preserve">delningssystemet som framkommit i enkäten </w:t>
      </w:r>
      <w:r w:rsidR="000F4BB6">
        <w:rPr>
          <w:rFonts w:ascii="Times New Roman" w:hAnsi="Times New Roman" w:cs="Times New Roman"/>
          <w:sz w:val="24"/>
          <w:szCs w:val="24"/>
        </w:rPr>
        <w:t>tycks grunda sig i att resurstill</w:t>
      </w:r>
      <w:r w:rsidRPr="009D10BF">
        <w:rPr>
          <w:rFonts w:ascii="Times New Roman" w:hAnsi="Times New Roman" w:cs="Times New Roman"/>
          <w:sz w:val="24"/>
          <w:szCs w:val="24"/>
        </w:rPr>
        <w:t>delningssystemet gynnar redan välmeriterade forskare och missgynna övriga. Resonemanget tycks vara att de som redan erhållit medel vid ett tillfälle också kommer att göra det vid nästa.</w:t>
      </w:r>
      <w:r w:rsidR="00AA51FD" w:rsidRPr="009D10BF">
        <w:rPr>
          <w:rFonts w:ascii="Times New Roman" w:hAnsi="Times New Roman" w:cs="Times New Roman"/>
          <w:sz w:val="24"/>
          <w:szCs w:val="24"/>
        </w:rPr>
        <w:t xml:space="preserve"> Den som inte tillhör de lyckosamma från början har en konkurrensnackdel senare. </w:t>
      </w:r>
      <w:r w:rsidR="004E73C9" w:rsidRPr="009D10BF">
        <w:rPr>
          <w:rFonts w:ascii="Times New Roman" w:hAnsi="Times New Roman" w:cs="Times New Roman"/>
          <w:sz w:val="24"/>
          <w:szCs w:val="24"/>
        </w:rPr>
        <w:t xml:space="preserve">De som har mycket forskningstid i sin tjänst har dessutom </w:t>
      </w:r>
      <w:r w:rsidR="004E73C9" w:rsidRPr="009D10BF">
        <w:rPr>
          <w:rFonts w:ascii="Times New Roman" w:hAnsi="Times New Roman" w:cs="Times New Roman"/>
          <w:sz w:val="24"/>
          <w:szCs w:val="24"/>
        </w:rPr>
        <w:lastRenderedPageBreak/>
        <w:t xml:space="preserve">större möjligheter att skriva lyckosamma ansökningar till externa finansiärer, vilket ytterligare gynnar redan väl meriterade forskare. </w:t>
      </w:r>
      <w:r w:rsidR="00AA51FD" w:rsidRPr="009D10BF">
        <w:rPr>
          <w:rFonts w:ascii="Times New Roman" w:hAnsi="Times New Roman" w:cs="Times New Roman"/>
          <w:sz w:val="24"/>
          <w:szCs w:val="24"/>
        </w:rPr>
        <w:t xml:space="preserve">På ett sätt är i och för sig systemet redan utformat så att det kompenserar för skillnader som avser arbetstid för forskning. Publiceringspoängen är värda mer för den som har mindre forskningstid i sin tjänst i förhållande till den som har mer. </w:t>
      </w:r>
      <w:r w:rsidR="004E73C9" w:rsidRPr="009D10BF">
        <w:rPr>
          <w:rFonts w:ascii="Times New Roman" w:hAnsi="Times New Roman" w:cs="Times New Roman"/>
          <w:sz w:val="24"/>
          <w:szCs w:val="24"/>
        </w:rPr>
        <w:t>Däremot finns ingen liknande kompensering när det gäller hur externa mede</w:t>
      </w:r>
      <w:r w:rsidR="000F4BB6">
        <w:rPr>
          <w:rFonts w:ascii="Times New Roman" w:hAnsi="Times New Roman" w:cs="Times New Roman"/>
          <w:sz w:val="24"/>
          <w:szCs w:val="24"/>
        </w:rPr>
        <w:t>l räknas. Jag tror att resurstill</w:t>
      </w:r>
      <w:r w:rsidR="004E73C9" w:rsidRPr="009D10BF">
        <w:rPr>
          <w:rFonts w:ascii="Times New Roman" w:hAnsi="Times New Roman" w:cs="Times New Roman"/>
          <w:sz w:val="24"/>
          <w:szCs w:val="24"/>
        </w:rPr>
        <w:t xml:space="preserve">delningssystemet får en bättre symmetri genom att även införa någon form av viktning för hur man tillgodoräknar den sökande poäng för externa medel. Jag tror också att det skulle dämpa känslan av orättvisa om anställda med mycket lite forskningstid fick vikta sina externa medel på liknande sätt som nu tillämpas för publiceringspoäng. </w:t>
      </w:r>
    </w:p>
    <w:p w:rsidR="00FE2429" w:rsidRPr="009D10BF" w:rsidRDefault="00A61B42" w:rsidP="00A61B42">
      <w:pPr>
        <w:pStyle w:val="Liststycke"/>
        <w:numPr>
          <w:ilvl w:val="0"/>
          <w:numId w:val="2"/>
        </w:numPr>
        <w:rPr>
          <w:rFonts w:ascii="Times New Roman" w:hAnsi="Times New Roman" w:cs="Times New Roman"/>
          <w:b/>
          <w:sz w:val="24"/>
          <w:szCs w:val="24"/>
        </w:rPr>
      </w:pPr>
      <w:r w:rsidRPr="009D10BF">
        <w:rPr>
          <w:rFonts w:ascii="Times New Roman" w:hAnsi="Times New Roman" w:cs="Times New Roman"/>
          <w:b/>
          <w:sz w:val="24"/>
          <w:szCs w:val="24"/>
        </w:rPr>
        <w:t>Kunskape</w:t>
      </w:r>
      <w:r w:rsidR="000F4BB6">
        <w:rPr>
          <w:rFonts w:ascii="Times New Roman" w:hAnsi="Times New Roman" w:cs="Times New Roman"/>
          <w:b/>
          <w:sz w:val="24"/>
          <w:szCs w:val="24"/>
        </w:rPr>
        <w:t>rna om resurstill</w:t>
      </w:r>
      <w:r w:rsidRPr="009D10BF">
        <w:rPr>
          <w:rFonts w:ascii="Times New Roman" w:hAnsi="Times New Roman" w:cs="Times New Roman"/>
          <w:b/>
          <w:sz w:val="24"/>
          <w:szCs w:val="24"/>
        </w:rPr>
        <w:t>delningssystemet tycks vara dåliga</w:t>
      </w:r>
      <w:r w:rsidR="004E73C9" w:rsidRPr="009D10BF">
        <w:rPr>
          <w:rFonts w:ascii="Times New Roman" w:hAnsi="Times New Roman" w:cs="Times New Roman"/>
          <w:b/>
          <w:sz w:val="24"/>
          <w:szCs w:val="24"/>
        </w:rPr>
        <w:t xml:space="preserve"> </w:t>
      </w:r>
    </w:p>
    <w:p w:rsidR="00EC450B" w:rsidRPr="009D10BF" w:rsidRDefault="00EC450B" w:rsidP="00EC450B">
      <w:pPr>
        <w:rPr>
          <w:rFonts w:ascii="Times New Roman" w:hAnsi="Times New Roman" w:cs="Times New Roman"/>
          <w:sz w:val="24"/>
          <w:szCs w:val="24"/>
        </w:rPr>
      </w:pPr>
      <w:r w:rsidRPr="009D10BF">
        <w:rPr>
          <w:rFonts w:ascii="Times New Roman" w:hAnsi="Times New Roman" w:cs="Times New Roman"/>
          <w:sz w:val="24"/>
          <w:szCs w:val="24"/>
        </w:rPr>
        <w:t>Förslag:</w:t>
      </w:r>
      <w:r w:rsidR="000F4BB6">
        <w:rPr>
          <w:rFonts w:ascii="Times New Roman" w:hAnsi="Times New Roman" w:cs="Times New Roman"/>
          <w:sz w:val="24"/>
          <w:szCs w:val="24"/>
        </w:rPr>
        <w:t xml:space="preserve"> Ge information om hur resurstill</w:t>
      </w:r>
      <w:r w:rsidRPr="009D10BF">
        <w:rPr>
          <w:rFonts w:ascii="Times New Roman" w:hAnsi="Times New Roman" w:cs="Times New Roman"/>
          <w:sz w:val="24"/>
          <w:szCs w:val="24"/>
        </w:rPr>
        <w:t>delningssystemet fungerar, vad det syftar till och varför det infördes.</w:t>
      </w:r>
    </w:p>
    <w:p w:rsidR="00EC450B" w:rsidRPr="009D10BF" w:rsidRDefault="00EC450B" w:rsidP="00EC450B">
      <w:pPr>
        <w:rPr>
          <w:rFonts w:ascii="Times New Roman" w:hAnsi="Times New Roman" w:cs="Times New Roman"/>
          <w:sz w:val="24"/>
          <w:szCs w:val="24"/>
        </w:rPr>
      </w:pPr>
      <w:r w:rsidRPr="009D10BF">
        <w:rPr>
          <w:rFonts w:ascii="Times New Roman" w:hAnsi="Times New Roman" w:cs="Times New Roman"/>
          <w:sz w:val="24"/>
          <w:szCs w:val="24"/>
        </w:rPr>
        <w:t xml:space="preserve">Enligt enkätsvaren framkommer det att många av fakultetens anställda tycker sig ha liten kunskap om vad systemet syftar till och varför det infördes. Dessutom förefaller många ha inhämtat den kunskap de </w:t>
      </w:r>
      <w:proofErr w:type="gramStart"/>
      <w:r w:rsidRPr="009D10BF">
        <w:rPr>
          <w:rFonts w:ascii="Times New Roman" w:hAnsi="Times New Roman" w:cs="Times New Roman"/>
          <w:sz w:val="24"/>
          <w:szCs w:val="24"/>
        </w:rPr>
        <w:t>besitter</w:t>
      </w:r>
      <w:proofErr w:type="gramEnd"/>
      <w:r w:rsidRPr="009D10BF">
        <w:rPr>
          <w:rFonts w:ascii="Times New Roman" w:hAnsi="Times New Roman" w:cs="Times New Roman"/>
          <w:sz w:val="24"/>
          <w:szCs w:val="24"/>
        </w:rPr>
        <w:t xml:space="preserve"> genom informella kanaler. Det kan därför tyckas vara angeläget att under ordnade former informera om systemet under personalträffar i mindre grupper. Det bör under sådana möten också finnas utrymme för diskussion om hur man upplever att systemet har fungerat och vad som kan förbättras.</w:t>
      </w:r>
    </w:p>
    <w:p w:rsidR="004B694A" w:rsidRPr="009D10BF" w:rsidRDefault="00AD5346" w:rsidP="00202DAF">
      <w:pPr>
        <w:ind w:left="360"/>
        <w:rPr>
          <w:rFonts w:ascii="Times New Roman" w:hAnsi="Times New Roman" w:cs="Times New Roman"/>
          <w:sz w:val="24"/>
          <w:szCs w:val="24"/>
        </w:rPr>
      </w:pPr>
      <w:r w:rsidRPr="009D10BF">
        <w:rPr>
          <w:rFonts w:ascii="Times New Roman" w:hAnsi="Times New Roman" w:cs="Times New Roman"/>
          <w:sz w:val="24"/>
          <w:szCs w:val="24"/>
        </w:rPr>
        <w:t xml:space="preserve"> </w:t>
      </w:r>
      <w:r w:rsidR="00936321" w:rsidRPr="009D10BF">
        <w:rPr>
          <w:rFonts w:ascii="Times New Roman" w:hAnsi="Times New Roman" w:cs="Times New Roman"/>
          <w:sz w:val="24"/>
          <w:szCs w:val="24"/>
        </w:rPr>
        <w:t xml:space="preserve">  </w:t>
      </w:r>
      <w:r w:rsidR="00202DAF" w:rsidRPr="009D10BF">
        <w:rPr>
          <w:rFonts w:ascii="Times New Roman" w:hAnsi="Times New Roman" w:cs="Times New Roman"/>
          <w:sz w:val="24"/>
          <w:szCs w:val="24"/>
        </w:rPr>
        <w:t xml:space="preserve">   </w:t>
      </w:r>
      <w:r w:rsidR="004B694A" w:rsidRPr="009D10BF">
        <w:rPr>
          <w:rFonts w:ascii="Times New Roman" w:hAnsi="Times New Roman" w:cs="Times New Roman"/>
          <w:sz w:val="24"/>
          <w:szCs w:val="24"/>
        </w:rPr>
        <w:t xml:space="preserve">  </w:t>
      </w:r>
    </w:p>
    <w:p w:rsidR="007D5618" w:rsidRPr="009D10BF" w:rsidRDefault="00ED14EE" w:rsidP="00507CB7">
      <w:pPr>
        <w:rPr>
          <w:rFonts w:ascii="Times New Roman" w:hAnsi="Times New Roman" w:cs="Times New Roman"/>
          <w:sz w:val="24"/>
          <w:szCs w:val="24"/>
        </w:rPr>
      </w:pPr>
      <w:r w:rsidRPr="009D10BF">
        <w:rPr>
          <w:rFonts w:ascii="Times New Roman" w:hAnsi="Times New Roman" w:cs="Times New Roman"/>
          <w:sz w:val="24"/>
          <w:szCs w:val="24"/>
        </w:rPr>
        <w:t xml:space="preserve">   </w:t>
      </w:r>
    </w:p>
    <w:p w:rsidR="007D5618" w:rsidRPr="009D10BF" w:rsidRDefault="007D5618" w:rsidP="007D5618">
      <w:pPr>
        <w:rPr>
          <w:rFonts w:ascii="Times New Roman" w:hAnsi="Times New Roman" w:cs="Times New Roman"/>
          <w:sz w:val="24"/>
          <w:szCs w:val="24"/>
        </w:rPr>
      </w:pPr>
    </w:p>
    <w:p w:rsidR="00BF5AF5" w:rsidRPr="009D10BF" w:rsidRDefault="00BF5AF5" w:rsidP="00BF5AF5">
      <w:pPr>
        <w:rPr>
          <w:rFonts w:ascii="Times New Roman" w:hAnsi="Times New Roman" w:cs="Times New Roman"/>
          <w:sz w:val="24"/>
          <w:szCs w:val="24"/>
        </w:rPr>
      </w:pPr>
    </w:p>
    <w:sectPr w:rsidR="00BF5AF5" w:rsidRPr="009D10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C9" w:rsidRDefault="000A64C9" w:rsidP="00C469AD">
      <w:pPr>
        <w:spacing w:after="0" w:line="240" w:lineRule="auto"/>
      </w:pPr>
      <w:r>
        <w:separator/>
      </w:r>
    </w:p>
  </w:endnote>
  <w:endnote w:type="continuationSeparator" w:id="0">
    <w:p w:rsidR="000A64C9" w:rsidRDefault="000A64C9" w:rsidP="00C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C9" w:rsidRDefault="000A64C9" w:rsidP="00C469AD">
      <w:pPr>
        <w:spacing w:after="0" w:line="240" w:lineRule="auto"/>
      </w:pPr>
      <w:r>
        <w:separator/>
      </w:r>
    </w:p>
  </w:footnote>
  <w:footnote w:type="continuationSeparator" w:id="0">
    <w:p w:rsidR="000A64C9" w:rsidRDefault="000A64C9" w:rsidP="00C469AD">
      <w:pPr>
        <w:spacing w:after="0" w:line="240" w:lineRule="auto"/>
      </w:pPr>
      <w:r>
        <w:continuationSeparator/>
      </w:r>
    </w:p>
  </w:footnote>
  <w:footnote w:id="1">
    <w:p w:rsidR="00C469AD" w:rsidRDefault="00C469AD">
      <w:pPr>
        <w:pStyle w:val="Fotnotstext"/>
      </w:pPr>
      <w:r>
        <w:rPr>
          <w:rStyle w:val="Fotnotsreferens"/>
        </w:rPr>
        <w:footnoteRef/>
      </w:r>
      <w:r>
        <w:t xml:space="preserve"> Antalet anställda 2005 var 173, 2006 153 anställda, 2007 145</w:t>
      </w:r>
      <w:r w:rsidRPr="00C469AD">
        <w:t xml:space="preserve"> </w:t>
      </w:r>
      <w:r>
        <w:t>anställda, 2008 137</w:t>
      </w:r>
      <w:r w:rsidRPr="00C469AD">
        <w:t xml:space="preserve"> </w:t>
      </w:r>
      <w:r>
        <w:t>anställda, 2009 219</w:t>
      </w:r>
      <w:r w:rsidRPr="00C469AD">
        <w:t xml:space="preserve"> </w:t>
      </w:r>
      <w:r>
        <w:t xml:space="preserve">anställda. Med anställda avses i det här fallet professorer, universitetslektorer, universitetsadjunkter och forskningsassistenter. Antalet tillsvidareanställda har därutöver varit, med små variationer över tid, ungefär 100 personer. Uppgifterna gäller anställda den 31/10 varje år. Uppgifterna är hämtade från Primula.   </w:t>
      </w:r>
    </w:p>
  </w:footnote>
  <w:footnote w:id="2">
    <w:p w:rsidR="00373198" w:rsidRDefault="00373198" w:rsidP="00373198">
      <w:pPr>
        <w:pStyle w:val="Fotnotstext"/>
      </w:pPr>
      <w:r>
        <w:rPr>
          <w:rStyle w:val="Fotnotsreferens"/>
        </w:rPr>
        <w:footnoteRef/>
      </w:r>
      <w:r>
        <w:t xml:space="preserve"> OpusDiva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A4E"/>
    <w:multiLevelType w:val="hybridMultilevel"/>
    <w:tmpl w:val="09F8B4B8"/>
    <w:lvl w:ilvl="0" w:tplc="86DAE7D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2F0271"/>
    <w:multiLevelType w:val="hybridMultilevel"/>
    <w:tmpl w:val="5D96BB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EF143FC"/>
    <w:multiLevelType w:val="hybridMultilevel"/>
    <w:tmpl w:val="BD586ED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DB"/>
    <w:rsid w:val="00007079"/>
    <w:rsid w:val="00025D89"/>
    <w:rsid w:val="000938C0"/>
    <w:rsid w:val="000A64C9"/>
    <w:rsid w:val="000C024F"/>
    <w:rsid w:val="000C19C1"/>
    <w:rsid w:val="000F4BB6"/>
    <w:rsid w:val="00173066"/>
    <w:rsid w:val="00196A7D"/>
    <w:rsid w:val="001A6D53"/>
    <w:rsid w:val="001A76C1"/>
    <w:rsid w:val="00202DAF"/>
    <w:rsid w:val="00240D3A"/>
    <w:rsid w:val="0024634D"/>
    <w:rsid w:val="0035397F"/>
    <w:rsid w:val="00373198"/>
    <w:rsid w:val="00393060"/>
    <w:rsid w:val="003E22C3"/>
    <w:rsid w:val="003F0F34"/>
    <w:rsid w:val="003F711E"/>
    <w:rsid w:val="00401350"/>
    <w:rsid w:val="00402BF5"/>
    <w:rsid w:val="004111DB"/>
    <w:rsid w:val="0041583F"/>
    <w:rsid w:val="00416C90"/>
    <w:rsid w:val="00464FE0"/>
    <w:rsid w:val="004B694A"/>
    <w:rsid w:val="004E2CB1"/>
    <w:rsid w:val="004E73C9"/>
    <w:rsid w:val="004F4E45"/>
    <w:rsid w:val="00507CB7"/>
    <w:rsid w:val="00524C12"/>
    <w:rsid w:val="0053570C"/>
    <w:rsid w:val="0055058B"/>
    <w:rsid w:val="006015E8"/>
    <w:rsid w:val="00636605"/>
    <w:rsid w:val="00664652"/>
    <w:rsid w:val="00685D27"/>
    <w:rsid w:val="006956B0"/>
    <w:rsid w:val="006A7338"/>
    <w:rsid w:val="006C032F"/>
    <w:rsid w:val="00736D88"/>
    <w:rsid w:val="00754C6F"/>
    <w:rsid w:val="007B7884"/>
    <w:rsid w:val="007D5618"/>
    <w:rsid w:val="0082215A"/>
    <w:rsid w:val="008277B0"/>
    <w:rsid w:val="00831FA3"/>
    <w:rsid w:val="00833B98"/>
    <w:rsid w:val="0088152F"/>
    <w:rsid w:val="008A61B7"/>
    <w:rsid w:val="008C0969"/>
    <w:rsid w:val="008C52CE"/>
    <w:rsid w:val="008E355E"/>
    <w:rsid w:val="008E5907"/>
    <w:rsid w:val="00903EFF"/>
    <w:rsid w:val="00913BC7"/>
    <w:rsid w:val="00936321"/>
    <w:rsid w:val="009A4ED8"/>
    <w:rsid w:val="009C2339"/>
    <w:rsid w:val="009C5192"/>
    <w:rsid w:val="009D10BF"/>
    <w:rsid w:val="009E0C68"/>
    <w:rsid w:val="009F4E52"/>
    <w:rsid w:val="00A3302B"/>
    <w:rsid w:val="00A61B42"/>
    <w:rsid w:val="00A725BA"/>
    <w:rsid w:val="00AA51FD"/>
    <w:rsid w:val="00AD5346"/>
    <w:rsid w:val="00B149D8"/>
    <w:rsid w:val="00B360CA"/>
    <w:rsid w:val="00B9275D"/>
    <w:rsid w:val="00BE0796"/>
    <w:rsid w:val="00BF5AF5"/>
    <w:rsid w:val="00C469AD"/>
    <w:rsid w:val="00C5715E"/>
    <w:rsid w:val="00CF6FFB"/>
    <w:rsid w:val="00D17ACE"/>
    <w:rsid w:val="00D2347F"/>
    <w:rsid w:val="00D308F9"/>
    <w:rsid w:val="00DA4848"/>
    <w:rsid w:val="00DB208A"/>
    <w:rsid w:val="00DB2D01"/>
    <w:rsid w:val="00E5153E"/>
    <w:rsid w:val="00E70E3A"/>
    <w:rsid w:val="00E951C0"/>
    <w:rsid w:val="00EC450B"/>
    <w:rsid w:val="00ED14EE"/>
    <w:rsid w:val="00F404A7"/>
    <w:rsid w:val="00F80F16"/>
    <w:rsid w:val="00FD6B9A"/>
    <w:rsid w:val="00FE242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11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1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C519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A48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111D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4111DB"/>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754C6F"/>
    <w:pPr>
      <w:ind w:left="720"/>
      <w:contextualSpacing/>
    </w:pPr>
  </w:style>
  <w:style w:type="paragraph" w:styleId="Underrubrik">
    <w:name w:val="Subtitle"/>
    <w:basedOn w:val="Normal"/>
    <w:next w:val="Normal"/>
    <w:link w:val="UnderrubrikChar"/>
    <w:uiPriority w:val="11"/>
    <w:qFormat/>
    <w:rsid w:val="009E0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E0C68"/>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ypsnitt"/>
    <w:link w:val="Rubrik3"/>
    <w:uiPriority w:val="9"/>
    <w:rsid w:val="009C5192"/>
    <w:rPr>
      <w:rFonts w:asciiTheme="majorHAnsi" w:eastAsiaTheme="majorEastAsia" w:hAnsiTheme="majorHAnsi" w:cstheme="majorBidi"/>
      <w:b/>
      <w:bCs/>
      <w:color w:val="4F81BD" w:themeColor="accent1"/>
    </w:rPr>
  </w:style>
  <w:style w:type="table" w:styleId="Tabellrutnt">
    <w:name w:val="Table Grid"/>
    <w:basedOn w:val="Normaltabell"/>
    <w:uiPriority w:val="59"/>
    <w:rsid w:val="009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A6D5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6D53"/>
    <w:rPr>
      <w:rFonts w:ascii="Tahoma" w:hAnsi="Tahoma" w:cs="Tahoma"/>
      <w:sz w:val="16"/>
      <w:szCs w:val="16"/>
    </w:rPr>
  </w:style>
  <w:style w:type="character" w:customStyle="1" w:styleId="Rubrik4Char">
    <w:name w:val="Rubrik 4 Char"/>
    <w:basedOn w:val="Standardstycketypsnitt"/>
    <w:link w:val="Rubrik4"/>
    <w:uiPriority w:val="9"/>
    <w:rsid w:val="00DA4848"/>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469AD"/>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C469AD"/>
    <w:rPr>
      <w:sz w:val="20"/>
      <w:szCs w:val="20"/>
    </w:rPr>
  </w:style>
  <w:style w:type="character" w:styleId="Fotnotsreferens">
    <w:name w:val="footnote reference"/>
    <w:basedOn w:val="Standardstycketypsnitt"/>
    <w:uiPriority w:val="99"/>
    <w:semiHidden/>
    <w:unhideWhenUsed/>
    <w:rsid w:val="00C469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111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11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9C519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A48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111D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ypsnitt"/>
    <w:link w:val="Rubrik2"/>
    <w:uiPriority w:val="9"/>
    <w:rsid w:val="004111DB"/>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754C6F"/>
    <w:pPr>
      <w:ind w:left="720"/>
      <w:contextualSpacing/>
    </w:pPr>
  </w:style>
  <w:style w:type="paragraph" w:styleId="Underrubrik">
    <w:name w:val="Subtitle"/>
    <w:basedOn w:val="Normal"/>
    <w:next w:val="Normal"/>
    <w:link w:val="UnderrubrikChar"/>
    <w:uiPriority w:val="11"/>
    <w:qFormat/>
    <w:rsid w:val="009E0C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E0C68"/>
    <w:rPr>
      <w:rFonts w:asciiTheme="majorHAnsi" w:eastAsiaTheme="majorEastAsia" w:hAnsiTheme="majorHAnsi" w:cstheme="majorBidi"/>
      <w:i/>
      <w:iCs/>
      <w:color w:val="4F81BD" w:themeColor="accent1"/>
      <w:spacing w:val="15"/>
      <w:sz w:val="24"/>
      <w:szCs w:val="24"/>
    </w:rPr>
  </w:style>
  <w:style w:type="character" w:customStyle="1" w:styleId="Rubrik3Char">
    <w:name w:val="Rubrik 3 Char"/>
    <w:basedOn w:val="Standardstycketypsnitt"/>
    <w:link w:val="Rubrik3"/>
    <w:uiPriority w:val="9"/>
    <w:rsid w:val="009C5192"/>
    <w:rPr>
      <w:rFonts w:asciiTheme="majorHAnsi" w:eastAsiaTheme="majorEastAsia" w:hAnsiTheme="majorHAnsi" w:cstheme="majorBidi"/>
      <w:b/>
      <w:bCs/>
      <w:color w:val="4F81BD" w:themeColor="accent1"/>
    </w:rPr>
  </w:style>
  <w:style w:type="table" w:styleId="Tabellrutnt">
    <w:name w:val="Table Grid"/>
    <w:basedOn w:val="Normaltabell"/>
    <w:uiPriority w:val="59"/>
    <w:rsid w:val="009C5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A6D5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A6D53"/>
    <w:rPr>
      <w:rFonts w:ascii="Tahoma" w:hAnsi="Tahoma" w:cs="Tahoma"/>
      <w:sz w:val="16"/>
      <w:szCs w:val="16"/>
    </w:rPr>
  </w:style>
  <w:style w:type="character" w:customStyle="1" w:styleId="Rubrik4Char">
    <w:name w:val="Rubrik 4 Char"/>
    <w:basedOn w:val="Standardstycketypsnitt"/>
    <w:link w:val="Rubrik4"/>
    <w:uiPriority w:val="9"/>
    <w:rsid w:val="00DA4848"/>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469AD"/>
    <w:pPr>
      <w:spacing w:after="0" w:line="240" w:lineRule="auto"/>
    </w:pPr>
    <w:rPr>
      <w:sz w:val="20"/>
      <w:szCs w:val="20"/>
    </w:rPr>
  </w:style>
  <w:style w:type="character" w:customStyle="1" w:styleId="FotnotstextChar">
    <w:name w:val="Fotnotstext Char"/>
    <w:basedOn w:val="Standardstycketypsnitt"/>
    <w:link w:val="Fotnotstext"/>
    <w:uiPriority w:val="99"/>
    <w:semiHidden/>
    <w:rsid w:val="00C469AD"/>
    <w:rPr>
      <w:sz w:val="20"/>
      <w:szCs w:val="20"/>
    </w:rPr>
  </w:style>
  <w:style w:type="character" w:styleId="Fotnotsreferens">
    <w:name w:val="footnote reference"/>
    <w:basedOn w:val="Standardstycketypsnitt"/>
    <w:uiPriority w:val="99"/>
    <w:semiHidden/>
    <w:unhideWhenUsed/>
    <w:rsid w:val="00C46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0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20bas%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20ba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20ba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20ba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bas%204regress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bas%204regress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20bas%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bas%202%20(sparad%20automatisk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vid\Documents\Kavlitetsbaserad%20resursf&#246;rdelning\Kvalba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 2. Könsfördelning bland de sökande för forskningstid</a:t>
            </a:r>
          </a:p>
        </c:rich>
      </c:tx>
      <c:overlay val="0"/>
    </c:title>
    <c:autoTitleDeleted val="0"/>
    <c:plotArea>
      <c:layout/>
      <c:barChart>
        <c:barDir val="col"/>
        <c:grouping val="clustered"/>
        <c:varyColors val="0"/>
        <c:ser>
          <c:idx val="0"/>
          <c:order val="0"/>
          <c:tx>
            <c:strRef>
              <c:f>Sheet1!$M$32</c:f>
              <c:strCache>
                <c:ptCount val="1"/>
                <c:pt idx="0">
                  <c:v>Män</c:v>
                </c:pt>
              </c:strCache>
            </c:strRef>
          </c:tx>
          <c:invertIfNegative val="0"/>
          <c:cat>
            <c:strRef>
              <c:f>Sheet1!$N$31:$Q$31</c:f>
              <c:strCache>
                <c:ptCount val="4"/>
                <c:pt idx="0">
                  <c:v>1 FT</c:v>
                </c:pt>
                <c:pt idx="1">
                  <c:v>2 FT</c:v>
                </c:pt>
                <c:pt idx="2">
                  <c:v>3 FT</c:v>
                </c:pt>
                <c:pt idx="3">
                  <c:v>4 FT</c:v>
                </c:pt>
              </c:strCache>
            </c:strRef>
          </c:cat>
          <c:val>
            <c:numRef>
              <c:f>Sheet1!$N$32:$Q$32</c:f>
              <c:numCache>
                <c:formatCode>General</c:formatCode>
                <c:ptCount val="4"/>
                <c:pt idx="0">
                  <c:v>0.586206896551724</c:v>
                </c:pt>
                <c:pt idx="1">
                  <c:v>0.608695652173913</c:v>
                </c:pt>
                <c:pt idx="2">
                  <c:v>0.526315789473684</c:v>
                </c:pt>
                <c:pt idx="3">
                  <c:v>0.5</c:v>
                </c:pt>
              </c:numCache>
            </c:numRef>
          </c:val>
        </c:ser>
        <c:ser>
          <c:idx val="1"/>
          <c:order val="1"/>
          <c:tx>
            <c:strRef>
              <c:f>Sheet1!$M$33</c:f>
              <c:strCache>
                <c:ptCount val="1"/>
                <c:pt idx="0">
                  <c:v>kvinnor</c:v>
                </c:pt>
              </c:strCache>
            </c:strRef>
          </c:tx>
          <c:invertIfNegative val="0"/>
          <c:cat>
            <c:strRef>
              <c:f>Sheet1!$N$31:$Q$31</c:f>
              <c:strCache>
                <c:ptCount val="4"/>
                <c:pt idx="0">
                  <c:v>1 FT</c:v>
                </c:pt>
                <c:pt idx="1">
                  <c:v>2 FT</c:v>
                </c:pt>
                <c:pt idx="2">
                  <c:v>3 FT</c:v>
                </c:pt>
                <c:pt idx="3">
                  <c:v>4 FT</c:v>
                </c:pt>
              </c:strCache>
            </c:strRef>
          </c:cat>
          <c:val>
            <c:numRef>
              <c:f>Sheet1!$N$33:$Q$33</c:f>
              <c:numCache>
                <c:formatCode>General</c:formatCode>
                <c:ptCount val="4"/>
                <c:pt idx="0">
                  <c:v>0.413793103448276</c:v>
                </c:pt>
                <c:pt idx="1">
                  <c:v>0.391304347826087</c:v>
                </c:pt>
                <c:pt idx="2">
                  <c:v>0.473684210526316</c:v>
                </c:pt>
                <c:pt idx="3">
                  <c:v>0.5</c:v>
                </c:pt>
              </c:numCache>
            </c:numRef>
          </c:val>
        </c:ser>
        <c:dLbls>
          <c:showLegendKey val="0"/>
          <c:showVal val="0"/>
          <c:showCatName val="0"/>
          <c:showSerName val="0"/>
          <c:showPercent val="0"/>
          <c:showBubbleSize val="0"/>
        </c:dLbls>
        <c:gapWidth val="150"/>
        <c:axId val="2129493384"/>
        <c:axId val="-2146317240"/>
      </c:barChart>
      <c:catAx>
        <c:axId val="2129493384"/>
        <c:scaling>
          <c:orientation val="minMax"/>
        </c:scaling>
        <c:delete val="0"/>
        <c:axPos val="b"/>
        <c:majorTickMark val="none"/>
        <c:minorTickMark val="none"/>
        <c:tickLblPos val="nextTo"/>
        <c:crossAx val="-2146317240"/>
        <c:crosses val="autoZero"/>
        <c:auto val="1"/>
        <c:lblAlgn val="ctr"/>
        <c:lblOffset val="100"/>
        <c:noMultiLvlLbl val="0"/>
      </c:catAx>
      <c:valAx>
        <c:axId val="-2146317240"/>
        <c:scaling>
          <c:orientation val="minMax"/>
        </c:scaling>
        <c:delete val="0"/>
        <c:axPos val="l"/>
        <c:majorGridlines/>
        <c:numFmt formatCode="General" sourceLinked="1"/>
        <c:majorTickMark val="none"/>
        <c:minorTickMark val="none"/>
        <c:tickLblPos val="nextTo"/>
        <c:crossAx val="21294933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 3. Könsfördelning bland de sökande för PD/dok</a:t>
            </a:r>
          </a:p>
        </c:rich>
      </c:tx>
      <c:overlay val="0"/>
    </c:title>
    <c:autoTitleDeleted val="0"/>
    <c:plotArea>
      <c:layout/>
      <c:barChart>
        <c:barDir val="col"/>
        <c:grouping val="clustered"/>
        <c:varyColors val="0"/>
        <c:ser>
          <c:idx val="0"/>
          <c:order val="0"/>
          <c:tx>
            <c:strRef>
              <c:f>Sheet1!$M$38</c:f>
              <c:strCache>
                <c:ptCount val="1"/>
                <c:pt idx="0">
                  <c:v>Män</c:v>
                </c:pt>
              </c:strCache>
            </c:strRef>
          </c:tx>
          <c:invertIfNegative val="0"/>
          <c:cat>
            <c:strRef>
              <c:f>Sheet1!$N$37:$R$37</c:f>
              <c:strCache>
                <c:ptCount val="5"/>
                <c:pt idx="0">
                  <c:v>1 PD</c:v>
                </c:pt>
                <c:pt idx="1">
                  <c:v>2 PD</c:v>
                </c:pt>
                <c:pt idx="2">
                  <c:v>2 DOK</c:v>
                </c:pt>
                <c:pt idx="3">
                  <c:v>3 PD</c:v>
                </c:pt>
                <c:pt idx="4">
                  <c:v>3 DOK</c:v>
                </c:pt>
              </c:strCache>
            </c:strRef>
          </c:cat>
          <c:val>
            <c:numRef>
              <c:f>Sheet1!$N$38:$R$38</c:f>
              <c:numCache>
                <c:formatCode>General</c:formatCode>
                <c:ptCount val="5"/>
                <c:pt idx="0">
                  <c:v>0.714285714285714</c:v>
                </c:pt>
                <c:pt idx="1">
                  <c:v>0.642857142857143</c:v>
                </c:pt>
                <c:pt idx="2">
                  <c:v>0.736842105263158</c:v>
                </c:pt>
                <c:pt idx="3">
                  <c:v>0.8</c:v>
                </c:pt>
                <c:pt idx="4">
                  <c:v>0.8125</c:v>
                </c:pt>
              </c:numCache>
            </c:numRef>
          </c:val>
        </c:ser>
        <c:ser>
          <c:idx val="1"/>
          <c:order val="1"/>
          <c:tx>
            <c:strRef>
              <c:f>Sheet1!$M$39</c:f>
              <c:strCache>
                <c:ptCount val="1"/>
                <c:pt idx="0">
                  <c:v>Kvinnor</c:v>
                </c:pt>
              </c:strCache>
            </c:strRef>
          </c:tx>
          <c:invertIfNegative val="0"/>
          <c:cat>
            <c:strRef>
              <c:f>Sheet1!$N$37:$R$37</c:f>
              <c:strCache>
                <c:ptCount val="5"/>
                <c:pt idx="0">
                  <c:v>1 PD</c:v>
                </c:pt>
                <c:pt idx="1">
                  <c:v>2 PD</c:v>
                </c:pt>
                <c:pt idx="2">
                  <c:v>2 DOK</c:v>
                </c:pt>
                <c:pt idx="3">
                  <c:v>3 PD</c:v>
                </c:pt>
                <c:pt idx="4">
                  <c:v>3 DOK</c:v>
                </c:pt>
              </c:strCache>
            </c:strRef>
          </c:cat>
          <c:val>
            <c:numRef>
              <c:f>Sheet1!$N$39:$R$39</c:f>
              <c:numCache>
                <c:formatCode>General</c:formatCode>
                <c:ptCount val="5"/>
                <c:pt idx="0">
                  <c:v>0.285714285714286</c:v>
                </c:pt>
                <c:pt idx="1">
                  <c:v>0.357142857142857</c:v>
                </c:pt>
                <c:pt idx="2">
                  <c:v>0.263157894736842</c:v>
                </c:pt>
                <c:pt idx="3">
                  <c:v>0.2</c:v>
                </c:pt>
                <c:pt idx="4">
                  <c:v>0.1875</c:v>
                </c:pt>
              </c:numCache>
            </c:numRef>
          </c:val>
        </c:ser>
        <c:dLbls>
          <c:showLegendKey val="0"/>
          <c:showVal val="0"/>
          <c:showCatName val="0"/>
          <c:showSerName val="0"/>
          <c:showPercent val="0"/>
          <c:showBubbleSize val="0"/>
        </c:dLbls>
        <c:gapWidth val="150"/>
        <c:axId val="-2116312984"/>
        <c:axId val="-2140543240"/>
      </c:barChart>
      <c:catAx>
        <c:axId val="-2116312984"/>
        <c:scaling>
          <c:orientation val="minMax"/>
        </c:scaling>
        <c:delete val="0"/>
        <c:axPos val="b"/>
        <c:majorTickMark val="none"/>
        <c:minorTickMark val="none"/>
        <c:tickLblPos val="nextTo"/>
        <c:crossAx val="-2140543240"/>
        <c:crosses val="autoZero"/>
        <c:auto val="1"/>
        <c:lblAlgn val="ctr"/>
        <c:lblOffset val="100"/>
        <c:noMultiLvlLbl val="0"/>
      </c:catAx>
      <c:valAx>
        <c:axId val="-2140543240"/>
        <c:scaling>
          <c:orientation val="minMax"/>
        </c:scaling>
        <c:delete val="0"/>
        <c:axPos val="l"/>
        <c:majorGridlines/>
        <c:numFmt formatCode="General" sourceLinked="1"/>
        <c:majorTickMark val="none"/>
        <c:minorTickMark val="none"/>
        <c:tickLblPos val="nextTo"/>
        <c:crossAx val="-21163129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 4. Antal sökande och beviljade anslag för forskningstid</a:t>
            </a:r>
          </a:p>
        </c:rich>
      </c:tx>
      <c:overlay val="0"/>
    </c:title>
    <c:autoTitleDeleted val="0"/>
    <c:plotArea>
      <c:layout/>
      <c:barChart>
        <c:barDir val="col"/>
        <c:grouping val="clustered"/>
        <c:varyColors val="0"/>
        <c:ser>
          <c:idx val="0"/>
          <c:order val="0"/>
          <c:tx>
            <c:strRef>
              <c:f>Sheet1!$L$45</c:f>
              <c:strCache>
                <c:ptCount val="1"/>
                <c:pt idx="0">
                  <c:v>Antal sökande totalt</c:v>
                </c:pt>
              </c:strCache>
            </c:strRef>
          </c:tx>
          <c:invertIfNegative val="0"/>
          <c:cat>
            <c:strRef>
              <c:f>Sheet1!$M$44:$P$44</c:f>
              <c:strCache>
                <c:ptCount val="4"/>
                <c:pt idx="0">
                  <c:v>1 FT</c:v>
                </c:pt>
                <c:pt idx="1">
                  <c:v>2 FT</c:v>
                </c:pt>
                <c:pt idx="2">
                  <c:v>3 FT</c:v>
                </c:pt>
                <c:pt idx="3">
                  <c:v>4 FT</c:v>
                </c:pt>
              </c:strCache>
            </c:strRef>
          </c:cat>
          <c:val>
            <c:numRef>
              <c:f>Sheet1!$M$45:$P$45</c:f>
              <c:numCache>
                <c:formatCode>General</c:formatCode>
                <c:ptCount val="4"/>
                <c:pt idx="0">
                  <c:v>29.0</c:v>
                </c:pt>
                <c:pt idx="1">
                  <c:v>23.0</c:v>
                </c:pt>
                <c:pt idx="2">
                  <c:v>19.0</c:v>
                </c:pt>
                <c:pt idx="3">
                  <c:v>16.0</c:v>
                </c:pt>
              </c:numCache>
            </c:numRef>
          </c:val>
        </c:ser>
        <c:ser>
          <c:idx val="1"/>
          <c:order val="1"/>
          <c:tx>
            <c:strRef>
              <c:f>Sheet1!$L$46</c:f>
              <c:strCache>
                <c:ptCount val="1"/>
                <c:pt idx="0">
                  <c:v>Beviljade anslag</c:v>
                </c:pt>
              </c:strCache>
            </c:strRef>
          </c:tx>
          <c:invertIfNegative val="0"/>
          <c:cat>
            <c:strRef>
              <c:f>Sheet1!$M$44:$P$44</c:f>
              <c:strCache>
                <c:ptCount val="4"/>
                <c:pt idx="0">
                  <c:v>1 FT</c:v>
                </c:pt>
                <c:pt idx="1">
                  <c:v>2 FT</c:v>
                </c:pt>
                <c:pt idx="2">
                  <c:v>3 FT</c:v>
                </c:pt>
                <c:pt idx="3">
                  <c:v>4 FT</c:v>
                </c:pt>
              </c:strCache>
            </c:strRef>
          </c:cat>
          <c:val>
            <c:numRef>
              <c:f>Sheet1!$M$46:$P$46</c:f>
              <c:numCache>
                <c:formatCode>General</c:formatCode>
                <c:ptCount val="4"/>
                <c:pt idx="0">
                  <c:v>13.0</c:v>
                </c:pt>
                <c:pt idx="1">
                  <c:v>11.0</c:v>
                </c:pt>
                <c:pt idx="2">
                  <c:v>7.0</c:v>
                </c:pt>
                <c:pt idx="3">
                  <c:v>5.0</c:v>
                </c:pt>
              </c:numCache>
            </c:numRef>
          </c:val>
        </c:ser>
        <c:ser>
          <c:idx val="2"/>
          <c:order val="2"/>
          <c:tx>
            <c:strRef>
              <c:f>Sheet1!$L$47</c:f>
              <c:strCache>
                <c:ptCount val="1"/>
                <c:pt idx="0">
                  <c:v>Varav kvinnor</c:v>
                </c:pt>
              </c:strCache>
            </c:strRef>
          </c:tx>
          <c:invertIfNegative val="0"/>
          <c:cat>
            <c:strRef>
              <c:f>Sheet1!$M$44:$P$44</c:f>
              <c:strCache>
                <c:ptCount val="4"/>
                <c:pt idx="0">
                  <c:v>1 FT</c:v>
                </c:pt>
                <c:pt idx="1">
                  <c:v>2 FT</c:v>
                </c:pt>
                <c:pt idx="2">
                  <c:v>3 FT</c:v>
                </c:pt>
                <c:pt idx="3">
                  <c:v>4 FT</c:v>
                </c:pt>
              </c:strCache>
            </c:strRef>
          </c:cat>
          <c:val>
            <c:numRef>
              <c:f>Sheet1!$M$47:$P$47</c:f>
              <c:numCache>
                <c:formatCode>General</c:formatCode>
                <c:ptCount val="4"/>
                <c:pt idx="0">
                  <c:v>3.0</c:v>
                </c:pt>
                <c:pt idx="1">
                  <c:v>2.0</c:v>
                </c:pt>
                <c:pt idx="2">
                  <c:v>2.0</c:v>
                </c:pt>
                <c:pt idx="3">
                  <c:v>4.0</c:v>
                </c:pt>
              </c:numCache>
            </c:numRef>
          </c:val>
        </c:ser>
        <c:dLbls>
          <c:showLegendKey val="0"/>
          <c:showVal val="1"/>
          <c:showCatName val="0"/>
          <c:showSerName val="0"/>
          <c:showPercent val="0"/>
          <c:showBubbleSize val="0"/>
        </c:dLbls>
        <c:gapWidth val="150"/>
        <c:overlap val="-25"/>
        <c:axId val="2129893272"/>
        <c:axId val="-2114259736"/>
      </c:barChart>
      <c:catAx>
        <c:axId val="2129893272"/>
        <c:scaling>
          <c:orientation val="minMax"/>
        </c:scaling>
        <c:delete val="0"/>
        <c:axPos val="b"/>
        <c:majorTickMark val="none"/>
        <c:minorTickMark val="none"/>
        <c:tickLblPos val="nextTo"/>
        <c:crossAx val="-2114259736"/>
        <c:crosses val="autoZero"/>
        <c:auto val="1"/>
        <c:lblAlgn val="ctr"/>
        <c:lblOffset val="100"/>
        <c:noMultiLvlLbl val="0"/>
      </c:catAx>
      <c:valAx>
        <c:axId val="-2114259736"/>
        <c:scaling>
          <c:orientation val="minMax"/>
        </c:scaling>
        <c:delete val="1"/>
        <c:axPos val="l"/>
        <c:numFmt formatCode="General" sourceLinked="1"/>
        <c:majorTickMark val="none"/>
        <c:minorTickMark val="none"/>
        <c:tickLblPos val="nextTo"/>
        <c:crossAx val="212989327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a:t>
            </a:r>
            <a:r>
              <a:rPr lang="en-US" baseline="0"/>
              <a:t> 5. </a:t>
            </a:r>
            <a:r>
              <a:rPr lang="en-US"/>
              <a:t>Antalet sökande och beviljade anslag för PD/dok</a:t>
            </a:r>
          </a:p>
        </c:rich>
      </c:tx>
      <c:overlay val="0"/>
    </c:title>
    <c:autoTitleDeleted val="0"/>
    <c:plotArea>
      <c:layout/>
      <c:barChart>
        <c:barDir val="col"/>
        <c:grouping val="clustered"/>
        <c:varyColors val="0"/>
        <c:ser>
          <c:idx val="0"/>
          <c:order val="0"/>
          <c:tx>
            <c:strRef>
              <c:f>Sheet1!$L$3</c:f>
              <c:strCache>
                <c:ptCount val="1"/>
                <c:pt idx="0">
                  <c:v>Antal sökande totalt</c:v>
                </c:pt>
              </c:strCache>
            </c:strRef>
          </c:tx>
          <c:invertIfNegative val="0"/>
          <c:cat>
            <c:strRef>
              <c:f>Sheet1!$M$2:$Q$2</c:f>
              <c:strCache>
                <c:ptCount val="5"/>
                <c:pt idx="0">
                  <c:v>1 PD</c:v>
                </c:pt>
                <c:pt idx="1">
                  <c:v>2 PD</c:v>
                </c:pt>
                <c:pt idx="2">
                  <c:v>2 DOK</c:v>
                </c:pt>
                <c:pt idx="3">
                  <c:v>3 PD</c:v>
                </c:pt>
                <c:pt idx="4">
                  <c:v>3 DOK</c:v>
                </c:pt>
              </c:strCache>
            </c:strRef>
          </c:cat>
          <c:val>
            <c:numRef>
              <c:f>Sheet1!$M$3:$Q$3</c:f>
              <c:numCache>
                <c:formatCode>General</c:formatCode>
                <c:ptCount val="5"/>
                <c:pt idx="0">
                  <c:v>21.0</c:v>
                </c:pt>
                <c:pt idx="1">
                  <c:v>14.0</c:v>
                </c:pt>
                <c:pt idx="2">
                  <c:v>19.0</c:v>
                </c:pt>
                <c:pt idx="3">
                  <c:v>15.0</c:v>
                </c:pt>
                <c:pt idx="4">
                  <c:v>16.0</c:v>
                </c:pt>
              </c:numCache>
            </c:numRef>
          </c:val>
        </c:ser>
        <c:ser>
          <c:idx val="1"/>
          <c:order val="1"/>
          <c:tx>
            <c:strRef>
              <c:f>Sheet1!$L$4</c:f>
              <c:strCache>
                <c:ptCount val="1"/>
                <c:pt idx="0">
                  <c:v>Beviljade anslag</c:v>
                </c:pt>
              </c:strCache>
            </c:strRef>
          </c:tx>
          <c:invertIfNegative val="0"/>
          <c:cat>
            <c:strRef>
              <c:f>Sheet1!$M$2:$Q$2</c:f>
              <c:strCache>
                <c:ptCount val="5"/>
                <c:pt idx="0">
                  <c:v>1 PD</c:v>
                </c:pt>
                <c:pt idx="1">
                  <c:v>2 PD</c:v>
                </c:pt>
                <c:pt idx="2">
                  <c:v>2 DOK</c:v>
                </c:pt>
                <c:pt idx="3">
                  <c:v>3 PD</c:v>
                </c:pt>
                <c:pt idx="4">
                  <c:v>3 DOK</c:v>
                </c:pt>
              </c:strCache>
            </c:strRef>
          </c:cat>
          <c:val>
            <c:numRef>
              <c:f>Sheet1!$M$4:$Q$4</c:f>
              <c:numCache>
                <c:formatCode>General</c:formatCode>
                <c:ptCount val="5"/>
                <c:pt idx="0">
                  <c:v>7.0</c:v>
                </c:pt>
                <c:pt idx="1">
                  <c:v>5.0</c:v>
                </c:pt>
                <c:pt idx="2">
                  <c:v>8.0</c:v>
                </c:pt>
                <c:pt idx="3">
                  <c:v>7.0</c:v>
                </c:pt>
                <c:pt idx="4">
                  <c:v>6.0</c:v>
                </c:pt>
              </c:numCache>
            </c:numRef>
          </c:val>
        </c:ser>
        <c:ser>
          <c:idx val="2"/>
          <c:order val="2"/>
          <c:tx>
            <c:strRef>
              <c:f>Sheet1!$L$5</c:f>
              <c:strCache>
                <c:ptCount val="1"/>
                <c:pt idx="0">
                  <c:v>Varav kvinnor</c:v>
                </c:pt>
              </c:strCache>
            </c:strRef>
          </c:tx>
          <c:invertIfNegative val="0"/>
          <c:cat>
            <c:strRef>
              <c:f>Sheet1!$M$2:$Q$2</c:f>
              <c:strCache>
                <c:ptCount val="5"/>
                <c:pt idx="0">
                  <c:v>1 PD</c:v>
                </c:pt>
                <c:pt idx="1">
                  <c:v>2 PD</c:v>
                </c:pt>
                <c:pt idx="2">
                  <c:v>2 DOK</c:v>
                </c:pt>
                <c:pt idx="3">
                  <c:v>3 PD</c:v>
                </c:pt>
                <c:pt idx="4">
                  <c:v>3 DOK</c:v>
                </c:pt>
              </c:strCache>
            </c:strRef>
          </c:cat>
          <c:val>
            <c:numRef>
              <c:f>Sheet1!$M$5:$Q$5</c:f>
              <c:numCache>
                <c:formatCode>General</c:formatCode>
                <c:ptCount val="5"/>
                <c:pt idx="0">
                  <c:v>1.0</c:v>
                </c:pt>
                <c:pt idx="1">
                  <c:v>3.0</c:v>
                </c:pt>
                <c:pt idx="2">
                  <c:v>3.0</c:v>
                </c:pt>
                <c:pt idx="3">
                  <c:v>1.0</c:v>
                </c:pt>
                <c:pt idx="4">
                  <c:v>0.0</c:v>
                </c:pt>
              </c:numCache>
            </c:numRef>
          </c:val>
        </c:ser>
        <c:dLbls>
          <c:showLegendKey val="0"/>
          <c:showVal val="1"/>
          <c:showCatName val="0"/>
          <c:showSerName val="0"/>
          <c:showPercent val="0"/>
          <c:showBubbleSize val="0"/>
        </c:dLbls>
        <c:gapWidth val="150"/>
        <c:overlap val="-25"/>
        <c:axId val="-2078634872"/>
        <c:axId val="-2079141880"/>
      </c:barChart>
      <c:catAx>
        <c:axId val="-2078634872"/>
        <c:scaling>
          <c:orientation val="minMax"/>
        </c:scaling>
        <c:delete val="0"/>
        <c:axPos val="b"/>
        <c:majorTickMark val="none"/>
        <c:minorTickMark val="none"/>
        <c:tickLblPos val="nextTo"/>
        <c:crossAx val="-2079141880"/>
        <c:crosses val="autoZero"/>
        <c:auto val="1"/>
        <c:lblAlgn val="ctr"/>
        <c:lblOffset val="100"/>
        <c:noMultiLvlLbl val="0"/>
      </c:catAx>
      <c:valAx>
        <c:axId val="-2079141880"/>
        <c:scaling>
          <c:orientation val="minMax"/>
        </c:scaling>
        <c:delete val="1"/>
        <c:axPos val="l"/>
        <c:numFmt formatCode="General" sourceLinked="1"/>
        <c:majorTickMark val="none"/>
        <c:minorTickMark val="none"/>
        <c:tickLblPos val="none"/>
        <c:crossAx val="-2078634872"/>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sv-SE"/>
              <a:t>Figur 6. Kön och beviljade ansökningar</a:t>
            </a:r>
          </a:p>
          <a:p>
            <a:pPr>
              <a:defRPr/>
            </a:pPr>
            <a:r>
              <a:rPr lang="sv-SE" sz="1100" b="0"/>
              <a:t>Binär logisk regresion som indikerar sannolikenheten för </a:t>
            </a:r>
          </a:p>
          <a:p>
            <a:pPr>
              <a:defRPr/>
            </a:pPr>
            <a:r>
              <a:rPr lang="sv-SE" sz="1100" b="0"/>
              <a:t> beviljad ansökan</a:t>
            </a:r>
          </a:p>
          <a:p>
            <a:pPr>
              <a:defRPr/>
            </a:pPr>
            <a:endParaRPr lang="sv-SE"/>
          </a:p>
        </c:rich>
      </c:tx>
      <c:layout>
        <c:manualLayout>
          <c:xMode val="edge"/>
          <c:yMode val="edge"/>
          <c:x val="0.156466939920181"/>
          <c:y val="0.0174079294646301"/>
        </c:manualLayout>
      </c:layout>
      <c:overlay val="0"/>
    </c:title>
    <c:autoTitleDeleted val="0"/>
    <c:plotArea>
      <c:layout/>
      <c:barChart>
        <c:barDir val="col"/>
        <c:grouping val="stacked"/>
        <c:varyColors val="0"/>
        <c:ser>
          <c:idx val="0"/>
          <c:order val="0"/>
          <c:invertIfNegative val="0"/>
          <c:cat>
            <c:strRef>
              <c:f>Blad2!$B$3:$B$4</c:f>
              <c:strCache>
                <c:ptCount val="2"/>
                <c:pt idx="0">
                  <c:v>Kvinna</c:v>
                </c:pt>
                <c:pt idx="1">
                  <c:v>Man</c:v>
                </c:pt>
              </c:strCache>
            </c:strRef>
          </c:cat>
          <c:val>
            <c:numRef>
              <c:f>Blad2!$C$3:$C$4</c:f>
              <c:numCache>
                <c:formatCode>General</c:formatCode>
                <c:ptCount val="2"/>
                <c:pt idx="0">
                  <c:v>1.0</c:v>
                </c:pt>
                <c:pt idx="1">
                  <c:v>3.214</c:v>
                </c:pt>
              </c:numCache>
            </c:numRef>
          </c:val>
        </c:ser>
        <c:dLbls>
          <c:showLegendKey val="0"/>
          <c:showVal val="0"/>
          <c:showCatName val="0"/>
          <c:showSerName val="0"/>
          <c:showPercent val="0"/>
          <c:showBubbleSize val="0"/>
        </c:dLbls>
        <c:gapWidth val="55"/>
        <c:overlap val="100"/>
        <c:axId val="-2079263544"/>
        <c:axId val="-2109432280"/>
      </c:barChart>
      <c:catAx>
        <c:axId val="-2079263544"/>
        <c:scaling>
          <c:orientation val="minMax"/>
        </c:scaling>
        <c:delete val="0"/>
        <c:axPos val="b"/>
        <c:title>
          <c:tx>
            <c:rich>
              <a:bodyPr/>
              <a:lstStyle/>
              <a:p>
                <a:pPr>
                  <a:defRPr/>
                </a:pPr>
                <a:r>
                  <a:rPr lang="en-US"/>
                  <a:t>Kön och beviljade ansökningar (N=65, P=0.03) </a:t>
                </a:r>
              </a:p>
            </c:rich>
          </c:tx>
          <c:overlay val="0"/>
        </c:title>
        <c:majorTickMark val="none"/>
        <c:minorTickMark val="none"/>
        <c:tickLblPos val="nextTo"/>
        <c:crossAx val="-2109432280"/>
        <c:crosses val="autoZero"/>
        <c:auto val="1"/>
        <c:lblAlgn val="ctr"/>
        <c:lblOffset val="100"/>
        <c:noMultiLvlLbl val="0"/>
      </c:catAx>
      <c:valAx>
        <c:axId val="-2109432280"/>
        <c:scaling>
          <c:orientation val="minMax"/>
        </c:scaling>
        <c:delete val="0"/>
        <c:axPos val="l"/>
        <c:majorGridlines/>
        <c:title>
          <c:tx>
            <c:rich>
              <a:bodyPr/>
              <a:lstStyle/>
              <a:p>
                <a:pPr>
                  <a:defRPr/>
                </a:pPr>
                <a:r>
                  <a:rPr lang="en-US"/>
                  <a:t>Incidentkvot
</a:t>
                </a:r>
              </a:p>
            </c:rich>
          </c:tx>
          <c:layout>
            <c:manualLayout>
              <c:xMode val="edge"/>
              <c:yMode val="edge"/>
              <c:x val="0.0251141552511415"/>
              <c:y val="0.476271459520497"/>
            </c:manualLayout>
          </c:layout>
          <c:overlay val="0"/>
        </c:title>
        <c:numFmt formatCode="General" sourceLinked="1"/>
        <c:majorTickMark val="none"/>
        <c:minorTickMark val="none"/>
        <c:tickLblPos val="nextTo"/>
        <c:crossAx val="-20792635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 7. Docenter och beviljade ansökningar </a:t>
            </a:r>
            <a:br>
              <a:rPr lang="en-US"/>
            </a:br>
            <a:r>
              <a:rPr lang="en-US" sz="1100" b="0"/>
              <a:t>Binär logisk regression som indikerar sannolikheten för </a:t>
            </a:r>
            <a:endParaRPr lang="sv-SE" sz="1100" b="0"/>
          </a:p>
          <a:p>
            <a:pPr>
              <a:defRPr/>
            </a:pPr>
            <a:r>
              <a:rPr lang="en-US" sz="1100" b="0"/>
              <a:t>beviljad ansökan </a:t>
            </a:r>
            <a:endParaRPr lang="sv-SE" sz="1100" b="0"/>
          </a:p>
        </c:rich>
      </c:tx>
      <c:layout>
        <c:manualLayout>
          <c:xMode val="edge"/>
          <c:yMode val="edge"/>
          <c:x val="0.195613517060367"/>
          <c:y val="0.0324074074074074"/>
        </c:manualLayout>
      </c:layout>
      <c:overlay val="0"/>
    </c:title>
    <c:autoTitleDeleted val="0"/>
    <c:plotArea>
      <c:layout/>
      <c:barChart>
        <c:barDir val="col"/>
        <c:grouping val="stacked"/>
        <c:varyColors val="0"/>
        <c:ser>
          <c:idx val="0"/>
          <c:order val="0"/>
          <c:invertIfNegative val="0"/>
          <c:cat>
            <c:strRef>
              <c:f>Blad2!$K$3:$K$4</c:f>
              <c:strCache>
                <c:ptCount val="2"/>
                <c:pt idx="0">
                  <c:v>Doktor</c:v>
                </c:pt>
                <c:pt idx="1">
                  <c:v>Docent</c:v>
                </c:pt>
              </c:strCache>
            </c:strRef>
          </c:cat>
          <c:val>
            <c:numRef>
              <c:f>Blad2!$L$3:$L$4</c:f>
              <c:numCache>
                <c:formatCode>General</c:formatCode>
                <c:ptCount val="2"/>
                <c:pt idx="0">
                  <c:v>1.0</c:v>
                </c:pt>
                <c:pt idx="1">
                  <c:v>3.867</c:v>
                </c:pt>
              </c:numCache>
            </c:numRef>
          </c:val>
        </c:ser>
        <c:dLbls>
          <c:showLegendKey val="0"/>
          <c:showVal val="0"/>
          <c:showCatName val="0"/>
          <c:showSerName val="0"/>
          <c:showPercent val="0"/>
          <c:showBubbleSize val="0"/>
        </c:dLbls>
        <c:gapWidth val="55"/>
        <c:overlap val="100"/>
        <c:axId val="-2109487000"/>
        <c:axId val="-2114355064"/>
      </c:barChart>
      <c:catAx>
        <c:axId val="-2109487000"/>
        <c:scaling>
          <c:orientation val="minMax"/>
        </c:scaling>
        <c:delete val="0"/>
        <c:axPos val="b"/>
        <c:title>
          <c:tx>
            <c:rich>
              <a:bodyPr/>
              <a:lstStyle/>
              <a:p>
                <a:pPr>
                  <a:defRPr/>
                </a:pPr>
                <a:r>
                  <a:rPr lang="sv-SE"/>
                  <a:t>Docenter och beviljade ansökningar (N=65, P=0,016)</a:t>
                </a:r>
              </a:p>
            </c:rich>
          </c:tx>
          <c:overlay val="0"/>
        </c:title>
        <c:majorTickMark val="none"/>
        <c:minorTickMark val="none"/>
        <c:tickLblPos val="nextTo"/>
        <c:crossAx val="-2114355064"/>
        <c:crosses val="autoZero"/>
        <c:auto val="1"/>
        <c:lblAlgn val="ctr"/>
        <c:lblOffset val="100"/>
        <c:noMultiLvlLbl val="0"/>
      </c:catAx>
      <c:valAx>
        <c:axId val="-2114355064"/>
        <c:scaling>
          <c:orientation val="minMax"/>
        </c:scaling>
        <c:delete val="0"/>
        <c:axPos val="l"/>
        <c:majorGridlines/>
        <c:title>
          <c:tx>
            <c:rich>
              <a:bodyPr/>
              <a:lstStyle/>
              <a:p>
                <a:pPr>
                  <a:defRPr/>
                </a:pPr>
                <a:r>
                  <a:rPr lang="en-US"/>
                  <a:t>Incidentkvot</a:t>
                </a:r>
              </a:p>
            </c:rich>
          </c:tx>
          <c:overlay val="0"/>
        </c:title>
        <c:numFmt formatCode="General" sourceLinked="1"/>
        <c:majorTickMark val="none"/>
        <c:minorTickMark val="none"/>
        <c:tickLblPos val="nextTo"/>
        <c:crossAx val="-210948700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 8. Genomsnittlig publikationspoäng</a:t>
            </a:r>
            <a:r>
              <a:rPr lang="en-US" baseline="0"/>
              <a:t> för sökande till förskningstid.</a:t>
            </a:r>
            <a:endParaRPr lang="en-US"/>
          </a:p>
        </c:rich>
      </c:tx>
      <c:overlay val="0"/>
    </c:title>
    <c:autoTitleDeleted val="0"/>
    <c:plotArea>
      <c:layout/>
      <c:barChart>
        <c:barDir val="col"/>
        <c:grouping val="clustered"/>
        <c:varyColors val="0"/>
        <c:ser>
          <c:idx val="0"/>
          <c:order val="0"/>
          <c:tx>
            <c:strRef>
              <c:f>Sheet1!$M$21</c:f>
              <c:strCache>
                <c:ptCount val="1"/>
                <c:pt idx="0">
                  <c:v>Avslag</c:v>
                </c:pt>
              </c:strCache>
            </c:strRef>
          </c:tx>
          <c:invertIfNegative val="0"/>
          <c:cat>
            <c:strRef>
              <c:f>Sheet1!$N$20:$Q$20</c:f>
              <c:strCache>
                <c:ptCount val="4"/>
                <c:pt idx="0">
                  <c:v>1 FT</c:v>
                </c:pt>
                <c:pt idx="1">
                  <c:v>2 FT</c:v>
                </c:pt>
                <c:pt idx="2">
                  <c:v>3 FT</c:v>
                </c:pt>
                <c:pt idx="3">
                  <c:v>4 FT</c:v>
                </c:pt>
              </c:strCache>
            </c:strRef>
          </c:cat>
          <c:val>
            <c:numRef>
              <c:f>Sheet1!$N$21:$Q$21</c:f>
              <c:numCache>
                <c:formatCode>General</c:formatCode>
                <c:ptCount val="4"/>
                <c:pt idx="0">
                  <c:v>33.3125</c:v>
                </c:pt>
                <c:pt idx="1">
                  <c:v>28.58333333333331</c:v>
                </c:pt>
                <c:pt idx="2">
                  <c:v>22.91666666666667</c:v>
                </c:pt>
                <c:pt idx="3">
                  <c:v>30.72727272727273</c:v>
                </c:pt>
              </c:numCache>
            </c:numRef>
          </c:val>
        </c:ser>
        <c:ser>
          <c:idx val="1"/>
          <c:order val="1"/>
          <c:tx>
            <c:strRef>
              <c:f>Sheet1!$M$22</c:f>
              <c:strCache>
                <c:ptCount val="1"/>
                <c:pt idx="0">
                  <c:v>Erhållt</c:v>
                </c:pt>
              </c:strCache>
            </c:strRef>
          </c:tx>
          <c:invertIfNegative val="0"/>
          <c:cat>
            <c:strRef>
              <c:f>Sheet1!$N$20:$Q$20</c:f>
              <c:strCache>
                <c:ptCount val="4"/>
                <c:pt idx="0">
                  <c:v>1 FT</c:v>
                </c:pt>
                <c:pt idx="1">
                  <c:v>2 FT</c:v>
                </c:pt>
                <c:pt idx="2">
                  <c:v>3 FT</c:v>
                </c:pt>
                <c:pt idx="3">
                  <c:v>4 FT</c:v>
                </c:pt>
              </c:strCache>
            </c:strRef>
          </c:cat>
          <c:val>
            <c:numRef>
              <c:f>Sheet1!$N$22:$Q$22</c:f>
              <c:numCache>
                <c:formatCode>General</c:formatCode>
                <c:ptCount val="4"/>
                <c:pt idx="0">
                  <c:v>51.07692307692308</c:v>
                </c:pt>
                <c:pt idx="1">
                  <c:v>47.27272727272727</c:v>
                </c:pt>
                <c:pt idx="2">
                  <c:v>60.42857142857143</c:v>
                </c:pt>
                <c:pt idx="3">
                  <c:v>73.6</c:v>
                </c:pt>
              </c:numCache>
            </c:numRef>
          </c:val>
        </c:ser>
        <c:dLbls>
          <c:showLegendKey val="0"/>
          <c:showVal val="0"/>
          <c:showCatName val="0"/>
          <c:showSerName val="0"/>
          <c:showPercent val="0"/>
          <c:showBubbleSize val="0"/>
        </c:dLbls>
        <c:gapWidth val="150"/>
        <c:axId val="-2107039688"/>
        <c:axId val="-2124658232"/>
      </c:barChart>
      <c:catAx>
        <c:axId val="-2107039688"/>
        <c:scaling>
          <c:orientation val="minMax"/>
        </c:scaling>
        <c:delete val="0"/>
        <c:axPos val="b"/>
        <c:majorTickMark val="none"/>
        <c:minorTickMark val="none"/>
        <c:tickLblPos val="nextTo"/>
        <c:crossAx val="-2124658232"/>
        <c:crosses val="autoZero"/>
        <c:auto val="1"/>
        <c:lblAlgn val="ctr"/>
        <c:lblOffset val="100"/>
        <c:noMultiLvlLbl val="0"/>
      </c:catAx>
      <c:valAx>
        <c:axId val="-2124658232"/>
        <c:scaling>
          <c:orientation val="minMax"/>
        </c:scaling>
        <c:delete val="0"/>
        <c:axPos val="l"/>
        <c:majorGridlines/>
        <c:numFmt formatCode="General" sourceLinked="1"/>
        <c:majorTickMark val="none"/>
        <c:minorTickMark val="none"/>
        <c:tickLblPos val="nextTo"/>
        <c:crossAx val="-210703968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dirty="0" smtClean="0"/>
              <a:t>Figur 9. Andelen åberopade</a:t>
            </a:r>
            <a:r>
              <a:rPr lang="sv-SE" baseline="0" dirty="0" smtClean="0"/>
              <a:t> publikationer som var internationellt spridda eller </a:t>
            </a:r>
            <a:r>
              <a:rPr lang="sv-SE" baseline="0" dirty="0" err="1" smtClean="0"/>
              <a:t>peer</a:t>
            </a:r>
            <a:r>
              <a:rPr lang="sv-SE" baseline="0" dirty="0" smtClean="0"/>
              <a:t> </a:t>
            </a:r>
            <a:r>
              <a:rPr lang="sv-SE" baseline="0" dirty="0" err="1" smtClean="0"/>
              <a:t>review: gruppen som sökt forskningstid</a:t>
            </a:r>
            <a:endParaRPr lang="sv-SE" dirty="0"/>
          </a:p>
        </c:rich>
      </c:tx>
      <c:overlay val="0"/>
    </c:title>
    <c:autoTitleDeleted val="0"/>
    <c:plotArea>
      <c:layout/>
      <c:barChart>
        <c:barDir val="col"/>
        <c:grouping val="clustered"/>
        <c:varyColors val="0"/>
        <c:ser>
          <c:idx val="0"/>
          <c:order val="0"/>
          <c:tx>
            <c:strRef>
              <c:f>Sheet10!$A$32</c:f>
              <c:strCache>
                <c:ptCount val="1"/>
                <c:pt idx="0">
                  <c:v>Internationellt spridda</c:v>
                </c:pt>
              </c:strCache>
            </c:strRef>
          </c:tx>
          <c:invertIfNegative val="0"/>
          <c:cat>
            <c:strRef>
              <c:f>Sheet10!$B$31:$E$31</c:f>
              <c:strCache>
                <c:ptCount val="4"/>
                <c:pt idx="0">
                  <c:v>1 FT</c:v>
                </c:pt>
                <c:pt idx="1">
                  <c:v>2 FT</c:v>
                </c:pt>
                <c:pt idx="2">
                  <c:v>3 FT</c:v>
                </c:pt>
                <c:pt idx="3">
                  <c:v>4 FT</c:v>
                </c:pt>
              </c:strCache>
            </c:strRef>
          </c:cat>
          <c:val>
            <c:numRef>
              <c:f>Sheet10!$B$32:$E$32</c:f>
              <c:numCache>
                <c:formatCode>General</c:formatCode>
                <c:ptCount val="4"/>
                <c:pt idx="0">
                  <c:v>0.33125</c:v>
                </c:pt>
                <c:pt idx="1">
                  <c:v>0.285714285714286</c:v>
                </c:pt>
                <c:pt idx="2">
                  <c:v>0.234042553191489</c:v>
                </c:pt>
                <c:pt idx="3">
                  <c:v>0.397849462365591</c:v>
                </c:pt>
              </c:numCache>
            </c:numRef>
          </c:val>
        </c:ser>
        <c:ser>
          <c:idx val="1"/>
          <c:order val="1"/>
          <c:tx>
            <c:strRef>
              <c:f>Sheet10!$A$33</c:f>
              <c:strCache>
                <c:ptCount val="1"/>
                <c:pt idx="0">
                  <c:v>Peer review</c:v>
                </c:pt>
              </c:strCache>
            </c:strRef>
          </c:tx>
          <c:invertIfNegative val="0"/>
          <c:cat>
            <c:strRef>
              <c:f>Sheet10!$B$31:$E$31</c:f>
              <c:strCache>
                <c:ptCount val="4"/>
                <c:pt idx="0">
                  <c:v>1 FT</c:v>
                </c:pt>
                <c:pt idx="1">
                  <c:v>2 FT</c:v>
                </c:pt>
                <c:pt idx="2">
                  <c:v>3 FT</c:v>
                </c:pt>
                <c:pt idx="3">
                  <c:v>4 FT</c:v>
                </c:pt>
              </c:strCache>
            </c:strRef>
          </c:cat>
          <c:val>
            <c:numRef>
              <c:f>Sheet10!$B$33:$E$33</c:f>
              <c:numCache>
                <c:formatCode>General</c:formatCode>
                <c:ptCount val="4"/>
                <c:pt idx="0">
                  <c:v>0.2</c:v>
                </c:pt>
                <c:pt idx="1">
                  <c:v>0.214285714285714</c:v>
                </c:pt>
                <c:pt idx="2">
                  <c:v>0.287234042553191</c:v>
                </c:pt>
                <c:pt idx="3">
                  <c:v>0.311827956989247</c:v>
                </c:pt>
              </c:numCache>
            </c:numRef>
          </c:val>
        </c:ser>
        <c:dLbls>
          <c:showLegendKey val="0"/>
          <c:showVal val="0"/>
          <c:showCatName val="0"/>
          <c:showSerName val="0"/>
          <c:showPercent val="0"/>
          <c:showBubbleSize val="0"/>
        </c:dLbls>
        <c:gapWidth val="75"/>
        <c:overlap val="-25"/>
        <c:axId val="-2144903448"/>
        <c:axId val="-2124487096"/>
      </c:barChart>
      <c:catAx>
        <c:axId val="-2144903448"/>
        <c:scaling>
          <c:orientation val="minMax"/>
        </c:scaling>
        <c:delete val="0"/>
        <c:axPos val="b"/>
        <c:majorTickMark val="none"/>
        <c:minorTickMark val="none"/>
        <c:tickLblPos val="nextTo"/>
        <c:crossAx val="-2124487096"/>
        <c:crosses val="autoZero"/>
        <c:auto val="1"/>
        <c:lblAlgn val="ctr"/>
        <c:lblOffset val="100"/>
        <c:noMultiLvlLbl val="0"/>
      </c:catAx>
      <c:valAx>
        <c:axId val="-2124487096"/>
        <c:scaling>
          <c:orientation val="minMax"/>
        </c:scaling>
        <c:delete val="0"/>
        <c:axPos val="l"/>
        <c:majorGridlines/>
        <c:numFmt formatCode="General" sourceLinked="1"/>
        <c:majorTickMark val="none"/>
        <c:minorTickMark val="none"/>
        <c:tickLblPos val="nextTo"/>
        <c:spPr>
          <a:ln w="9525">
            <a:noFill/>
          </a:ln>
        </c:spPr>
        <c:crossAx val="-214490344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dirty="0" err="1" smtClean="0"/>
              <a:t>Figur 10. Internationellt</a:t>
            </a:r>
            <a:r>
              <a:rPr lang="en-US" dirty="0" smtClean="0"/>
              <a:t> </a:t>
            </a:r>
            <a:r>
              <a:rPr lang="en-US" dirty="0" err="1" smtClean="0"/>
              <a:t>spridda</a:t>
            </a:r>
            <a:r>
              <a:rPr lang="en-US" dirty="0" smtClean="0"/>
              <a:t> </a:t>
            </a:r>
            <a:r>
              <a:rPr lang="en-US" dirty="0" err="1" smtClean="0"/>
              <a:t>eller</a:t>
            </a:r>
            <a:r>
              <a:rPr lang="en-US" dirty="0" smtClean="0"/>
              <a:t> peer review-granskade publikationern:</a:t>
            </a:r>
            <a:r>
              <a:rPr lang="en-US" baseline="0" dirty="0" smtClean="0"/>
              <a:t> gruppen</a:t>
            </a:r>
            <a:r>
              <a:rPr lang="en-US" dirty="0" smtClean="0"/>
              <a:t> </a:t>
            </a:r>
            <a:r>
              <a:rPr lang="en-US" dirty="0" err="1" smtClean="0"/>
              <a:t>som</a:t>
            </a:r>
            <a:r>
              <a:rPr lang="en-US" dirty="0" smtClean="0"/>
              <a:t> </a:t>
            </a:r>
            <a:r>
              <a:rPr lang="en-US" dirty="0" err="1" smtClean="0"/>
              <a:t>beviljats</a:t>
            </a:r>
            <a:r>
              <a:rPr lang="en-US" dirty="0" smtClean="0"/>
              <a:t> </a:t>
            </a:r>
            <a:r>
              <a:rPr lang="en-US" dirty="0" err="1" smtClean="0"/>
              <a:t>forskningstid</a:t>
            </a:r>
            <a:endParaRPr lang="en-US" dirty="0"/>
          </a:p>
        </c:rich>
      </c:tx>
      <c:layout>
        <c:manualLayout>
          <c:xMode val="edge"/>
          <c:yMode val="edge"/>
          <c:x val="0.108459119496855"/>
          <c:y val="0.0147236987280562"/>
        </c:manualLayout>
      </c:layout>
      <c:overlay val="0"/>
    </c:title>
    <c:autoTitleDeleted val="0"/>
    <c:plotArea>
      <c:layout/>
      <c:barChart>
        <c:barDir val="col"/>
        <c:grouping val="clustered"/>
        <c:varyColors val="0"/>
        <c:ser>
          <c:idx val="0"/>
          <c:order val="0"/>
          <c:tx>
            <c:strRef>
              <c:f>Sheet10!$A$9</c:f>
              <c:strCache>
                <c:ptCount val="1"/>
                <c:pt idx="0">
                  <c:v>Internationellt spridda</c:v>
                </c:pt>
              </c:strCache>
            </c:strRef>
          </c:tx>
          <c:invertIfNegative val="0"/>
          <c:cat>
            <c:strRef>
              <c:f>Sheet10!$B$8:$E$8</c:f>
              <c:strCache>
                <c:ptCount val="4"/>
                <c:pt idx="0">
                  <c:v>1 FT</c:v>
                </c:pt>
                <c:pt idx="1">
                  <c:v>2 FT</c:v>
                </c:pt>
                <c:pt idx="2">
                  <c:v>3 FT</c:v>
                </c:pt>
                <c:pt idx="3">
                  <c:v>4 FT</c:v>
                </c:pt>
              </c:strCache>
            </c:strRef>
          </c:cat>
          <c:val>
            <c:numRef>
              <c:f>Sheet10!$B$9:$E$9</c:f>
              <c:numCache>
                <c:formatCode>General</c:formatCode>
                <c:ptCount val="4"/>
                <c:pt idx="0">
                  <c:v>0.280898876404494</c:v>
                </c:pt>
                <c:pt idx="1">
                  <c:v>0.25974025974026</c:v>
                </c:pt>
                <c:pt idx="2">
                  <c:v>0.206896551724138</c:v>
                </c:pt>
                <c:pt idx="3">
                  <c:v>0.6</c:v>
                </c:pt>
              </c:numCache>
            </c:numRef>
          </c:val>
        </c:ser>
        <c:ser>
          <c:idx val="1"/>
          <c:order val="1"/>
          <c:tx>
            <c:strRef>
              <c:f>Sheet10!$A$10</c:f>
              <c:strCache>
                <c:ptCount val="1"/>
                <c:pt idx="0">
                  <c:v>Peer review</c:v>
                </c:pt>
              </c:strCache>
            </c:strRef>
          </c:tx>
          <c:invertIfNegative val="0"/>
          <c:cat>
            <c:strRef>
              <c:f>Sheet10!$B$8:$E$8</c:f>
              <c:strCache>
                <c:ptCount val="4"/>
                <c:pt idx="0">
                  <c:v>1 FT</c:v>
                </c:pt>
                <c:pt idx="1">
                  <c:v>2 FT</c:v>
                </c:pt>
                <c:pt idx="2">
                  <c:v>3 FT</c:v>
                </c:pt>
                <c:pt idx="3">
                  <c:v>4 FT</c:v>
                </c:pt>
              </c:strCache>
            </c:strRef>
          </c:cat>
          <c:val>
            <c:numRef>
              <c:f>Sheet10!$B$10:$E$10</c:f>
              <c:numCache>
                <c:formatCode>General</c:formatCode>
                <c:ptCount val="4"/>
                <c:pt idx="0">
                  <c:v>0.191011235955056</c:v>
                </c:pt>
                <c:pt idx="1">
                  <c:v>0.233766233766234</c:v>
                </c:pt>
                <c:pt idx="2">
                  <c:v>0.241379310344828</c:v>
                </c:pt>
                <c:pt idx="3">
                  <c:v>0.244444444444444</c:v>
                </c:pt>
              </c:numCache>
            </c:numRef>
          </c:val>
        </c:ser>
        <c:dLbls>
          <c:showLegendKey val="0"/>
          <c:showVal val="0"/>
          <c:showCatName val="0"/>
          <c:showSerName val="0"/>
          <c:showPercent val="0"/>
          <c:showBubbleSize val="0"/>
        </c:dLbls>
        <c:gapWidth val="75"/>
        <c:overlap val="-25"/>
        <c:axId val="2089342424"/>
        <c:axId val="2089583272"/>
      </c:barChart>
      <c:catAx>
        <c:axId val="2089342424"/>
        <c:scaling>
          <c:orientation val="minMax"/>
        </c:scaling>
        <c:delete val="0"/>
        <c:axPos val="b"/>
        <c:majorTickMark val="none"/>
        <c:minorTickMark val="none"/>
        <c:tickLblPos val="nextTo"/>
        <c:crossAx val="2089583272"/>
        <c:crosses val="autoZero"/>
        <c:auto val="1"/>
        <c:lblAlgn val="ctr"/>
        <c:lblOffset val="100"/>
        <c:noMultiLvlLbl val="0"/>
      </c:catAx>
      <c:valAx>
        <c:axId val="2089583272"/>
        <c:scaling>
          <c:orientation val="minMax"/>
        </c:scaling>
        <c:delete val="0"/>
        <c:axPos val="l"/>
        <c:majorGridlines/>
        <c:numFmt formatCode="General" sourceLinked="1"/>
        <c:majorTickMark val="none"/>
        <c:minorTickMark val="none"/>
        <c:tickLblPos val="nextTo"/>
        <c:spPr>
          <a:ln w="9525">
            <a:noFill/>
          </a:ln>
        </c:spPr>
        <c:crossAx val="20893424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757F-BEF8-E241-8FE5-F04B76AA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4413</Words>
  <Characters>23393</Characters>
  <Application>Microsoft Macintosh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Per Melander</cp:lastModifiedBy>
  <cp:revision>2</cp:revision>
  <dcterms:created xsi:type="dcterms:W3CDTF">2014-03-21T13:11:00Z</dcterms:created>
  <dcterms:modified xsi:type="dcterms:W3CDTF">2014-03-21T13:11:00Z</dcterms:modified>
</cp:coreProperties>
</file>