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B35A" w14:textId="77777777" w:rsidR="00526FBA" w:rsidRPr="00526FBA" w:rsidRDefault="00526FBA" w:rsidP="00526FBA">
      <w:pPr>
        <w:pStyle w:val="VP-Rubrik"/>
      </w:pPr>
      <w:r w:rsidRPr="00526FBA">
        <w:t xml:space="preserve">Exempelprogrammet för Humanistiska fakulteten, 180 </w:t>
      </w:r>
      <w:proofErr w:type="spellStart"/>
      <w:r w:rsidRPr="00526FBA">
        <w:t>hp</w:t>
      </w:r>
      <w:proofErr w:type="spellEnd"/>
    </w:p>
    <w:p w14:paraId="487931ED" w14:textId="77777777" w:rsidR="00526FBA" w:rsidRDefault="00526FBA" w:rsidP="00526FBA">
      <w:pPr>
        <w:pStyle w:val="BasicParagraph"/>
      </w:pPr>
    </w:p>
    <w:p w14:paraId="6C7D2DB5" w14:textId="77777777" w:rsidR="00526FBA" w:rsidRPr="00526FBA" w:rsidRDefault="00526FBA" w:rsidP="00822162">
      <w:pPr>
        <w:pStyle w:val="VP-Underrubrik"/>
      </w:pPr>
      <w:r w:rsidRPr="00526FBA">
        <w:t>Beskrivning av programmet</w:t>
      </w:r>
    </w:p>
    <w:p w14:paraId="194F6614" w14:textId="77777777" w:rsidR="00526FBA" w:rsidRPr="00822162" w:rsidRDefault="00526FBA" w:rsidP="00822162">
      <w:pPr>
        <w:pStyle w:val="VP-Brdtext"/>
      </w:pPr>
      <w:r w:rsidRPr="00822162">
        <w:t xml:space="preserve">Här kommer beskrivning på programmet, dess idé, programspecifika förutsättningar, innehåll och upplägg, ingående huvudområden, medverkande institutioner, programföreståndare och programrådssammansättning och de nyckeltal som bedöms vara av intresse för </w:t>
      </w:r>
      <w:proofErr w:type="gramStart"/>
      <w:r w:rsidRPr="00822162">
        <w:t>ge</w:t>
      </w:r>
      <w:proofErr w:type="gramEnd"/>
      <w:r w:rsidRPr="00822162">
        <w:t xml:space="preserve"> en bra beskrivning av programmet.</w:t>
      </w:r>
    </w:p>
    <w:p w14:paraId="160BC158" w14:textId="77777777" w:rsidR="00526FBA" w:rsidRPr="001528AD" w:rsidRDefault="00526FBA" w:rsidP="00822162">
      <w:pPr>
        <w:pStyle w:val="VP-Brdtext"/>
      </w:pPr>
    </w:p>
    <w:p w14:paraId="5C0509A9" w14:textId="77777777" w:rsidR="00526FBA" w:rsidRDefault="00526FBA" w:rsidP="00822162">
      <w:pPr>
        <w:pStyle w:val="VP-Underrubrik"/>
      </w:pPr>
      <w:r>
        <w:t>Viktiga händelser</w:t>
      </w:r>
    </w:p>
    <w:p w14:paraId="4850772E" w14:textId="77777777" w:rsidR="00526FBA" w:rsidRDefault="00526FBA" w:rsidP="00822162">
      <w:pPr>
        <w:pStyle w:val="VP-Brdtext"/>
      </w:pPr>
      <w:r>
        <w:t xml:space="preserve">Under det gångna året har en del förutsedda, men också oförutsedda saker inträffat. Här kan ges exempel på en intressant gästföreläsning, exkursion eller tillskott av nya lärare. </w:t>
      </w:r>
    </w:p>
    <w:p w14:paraId="6EDF0660" w14:textId="77777777" w:rsidR="00526FBA" w:rsidRDefault="00526FBA" w:rsidP="00526FBA">
      <w:pPr>
        <w:pStyle w:val="Brdtext"/>
      </w:pPr>
    </w:p>
    <w:p w14:paraId="7D047A4C" w14:textId="77777777" w:rsidR="00526FBA" w:rsidRDefault="00526FBA" w:rsidP="00822162">
      <w:pPr>
        <w:pStyle w:val="VP-Underrubrik"/>
      </w:pPr>
      <w:r>
        <w:t>Programutvärdering</w:t>
      </w:r>
    </w:p>
    <w:p w14:paraId="2FD4A554" w14:textId="77777777" w:rsidR="00526FBA" w:rsidRDefault="00526FBA" w:rsidP="00822162">
      <w:pPr>
        <w:pStyle w:val="VP-Brdtext"/>
      </w:pPr>
      <w:r>
        <w:t xml:space="preserve">Här kommer en samlad bedömning av vad utvärderingen av programmet visat – styrkor, svagheter, samt förslag på direkta åtgärder och förändringar som ett resultat av detta. Till exempel att ett moment på termin 1 kommer bytas ut, eller att ett flertal synpunkter har kommit in på otydligheter under termin 5, eller att sista terminen var särskilt lyckad. </w:t>
      </w:r>
    </w:p>
    <w:p w14:paraId="5FC1BD1C" w14:textId="77777777" w:rsidR="00526FBA" w:rsidRDefault="00526FBA" w:rsidP="00526FBA">
      <w:pPr>
        <w:pStyle w:val="Brdtext"/>
      </w:pPr>
    </w:p>
    <w:p w14:paraId="2680C5F2" w14:textId="77777777" w:rsidR="00526FBA" w:rsidRDefault="00526FBA" w:rsidP="00822162">
      <w:pPr>
        <w:pStyle w:val="VP-Underrubrik"/>
      </w:pPr>
      <w:r>
        <w:t>Långsiktig strategi</w:t>
      </w:r>
    </w:p>
    <w:p w14:paraId="3536A889" w14:textId="77777777" w:rsidR="00526FBA" w:rsidRDefault="00526FBA" w:rsidP="00822162">
      <w:pPr>
        <w:pStyle w:val="VP-Brdtext"/>
      </w:pPr>
      <w:r>
        <w:t>Här redogörs för de fall det finns långsiktiga strategiska satsningar som är uppenbara underkommande åren, till exempel kommande pensionsavgångar, nyrekrytering, eller i nationella förändringar (liknande program som startas) och trender inom relevanta ämnestraditioner. Till exempel att ett nollintag planeras eller att en kompletterande magisterutbildning planeras.</w:t>
      </w:r>
    </w:p>
    <w:p w14:paraId="0CEC5E86" w14:textId="77777777" w:rsidR="00526FBA" w:rsidRDefault="00526FBA" w:rsidP="00822162">
      <w:pPr>
        <w:pStyle w:val="VP-Brdtext"/>
      </w:pPr>
    </w:p>
    <w:p w14:paraId="1C1A6C8B" w14:textId="77777777" w:rsidR="00526FBA" w:rsidRPr="004C46D2" w:rsidRDefault="00526FBA" w:rsidP="00822162">
      <w:pPr>
        <w:pStyle w:val="VP-Brdtext"/>
      </w:pPr>
    </w:p>
    <w:tbl>
      <w:tblPr>
        <w:tblStyle w:val="Tabellrutnt"/>
        <w:tblpPr w:leftFromText="141" w:rightFromText="141" w:vertAnchor="text" w:horzAnchor="page" w:tblpX="6207" w:tblpY="-7786"/>
        <w:tblW w:w="0" w:type="auto"/>
        <w:tblLook w:val="04A0" w:firstRow="1" w:lastRow="0" w:firstColumn="1" w:lastColumn="0" w:noHBand="0" w:noVBand="1"/>
      </w:tblPr>
      <w:tblGrid>
        <w:gridCol w:w="2155"/>
        <w:gridCol w:w="1021"/>
        <w:gridCol w:w="1021"/>
      </w:tblGrid>
      <w:tr w:rsidR="001528AD" w14:paraId="0AC501A0" w14:textId="77777777" w:rsidTr="00B32939">
        <w:tc>
          <w:tcPr>
            <w:tcW w:w="2155" w:type="dxa"/>
            <w:tcBorders>
              <w:top w:val="nil"/>
              <w:left w:val="nil"/>
            </w:tcBorders>
            <w:vAlign w:val="center"/>
          </w:tcPr>
          <w:p w14:paraId="3CC2CDA3" w14:textId="77777777" w:rsidR="001528AD" w:rsidRPr="004C46D2" w:rsidRDefault="001528AD" w:rsidP="00B32939">
            <w:pPr>
              <w:pStyle w:val="VP-Brdtext"/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1857C873" w14:textId="77777777" w:rsidR="001528AD" w:rsidRDefault="001528AD" w:rsidP="00B32939">
            <w:pPr>
              <w:pStyle w:val="VP-Brdtext"/>
            </w:pPr>
            <w:proofErr w:type="spellStart"/>
            <w:r>
              <w:t>Innev</w:t>
            </w:r>
            <w:proofErr w:type="spellEnd"/>
            <w:r>
              <w:t xml:space="preserve"> år</w:t>
            </w:r>
          </w:p>
        </w:tc>
        <w:tc>
          <w:tcPr>
            <w:tcW w:w="1021" w:type="dxa"/>
            <w:tcBorders>
              <w:top w:val="nil"/>
              <w:right w:val="nil"/>
            </w:tcBorders>
            <w:vAlign w:val="center"/>
          </w:tcPr>
          <w:p w14:paraId="7AB19C45" w14:textId="77777777" w:rsidR="001528AD" w:rsidRDefault="001528AD" w:rsidP="00B32939">
            <w:pPr>
              <w:pStyle w:val="VP-Brdtext"/>
            </w:pPr>
            <w:proofErr w:type="spellStart"/>
            <w:r>
              <w:t>Föreg</w:t>
            </w:r>
            <w:proofErr w:type="spellEnd"/>
            <w:r>
              <w:t xml:space="preserve"> år</w:t>
            </w:r>
          </w:p>
        </w:tc>
      </w:tr>
      <w:tr w:rsidR="001528AD" w14:paraId="24168B1E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42DC02A9" w14:textId="77777777" w:rsidR="001528AD" w:rsidRPr="00B32939" w:rsidRDefault="001528AD" w:rsidP="00B32939">
            <w:pPr>
              <w:pStyle w:val="VP-Brdtext"/>
              <w:spacing w:line="276" w:lineRule="auto"/>
            </w:pPr>
            <w:r w:rsidRPr="00B32939">
              <w:t>Antal nybörjarplatser</w:t>
            </w:r>
          </w:p>
        </w:tc>
        <w:tc>
          <w:tcPr>
            <w:tcW w:w="1021" w:type="dxa"/>
            <w:vAlign w:val="center"/>
          </w:tcPr>
          <w:p w14:paraId="0D5ED554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0A2AB962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1FC4F831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0FE3BF50" w14:textId="77777777" w:rsidR="001528AD" w:rsidRPr="00B32939" w:rsidRDefault="001528AD" w:rsidP="00B32939">
            <w:pPr>
              <w:pStyle w:val="VP-Brdtext"/>
              <w:spacing w:line="276" w:lineRule="auto"/>
            </w:pPr>
            <w:r w:rsidRPr="00B32939">
              <w:t>Förstahandssökande</w:t>
            </w:r>
          </w:p>
        </w:tc>
        <w:tc>
          <w:tcPr>
            <w:tcW w:w="1021" w:type="dxa"/>
            <w:vAlign w:val="center"/>
          </w:tcPr>
          <w:p w14:paraId="2F2F297E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3F57A0EA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04BDFDFB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627238B4" w14:textId="77777777" w:rsidR="001528AD" w:rsidRPr="00B32939" w:rsidRDefault="001528AD" w:rsidP="00B32939">
            <w:pPr>
              <w:pStyle w:val="VP-Brdtext"/>
              <w:spacing w:line="276" w:lineRule="auto"/>
            </w:pPr>
            <w:r w:rsidRPr="00B32939">
              <w:t>Antagna</w:t>
            </w:r>
          </w:p>
        </w:tc>
        <w:tc>
          <w:tcPr>
            <w:tcW w:w="1021" w:type="dxa"/>
            <w:vAlign w:val="center"/>
          </w:tcPr>
          <w:p w14:paraId="52F6477A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4D20F759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04332B3E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07C54833" w14:textId="77777777" w:rsidR="001528AD" w:rsidRPr="00B32939" w:rsidRDefault="001528AD" w:rsidP="00B32939">
            <w:pPr>
              <w:pStyle w:val="VP-Brdtext"/>
              <w:spacing w:line="276" w:lineRule="auto"/>
            </w:pPr>
            <w:r w:rsidRPr="00B32939">
              <w:t>Registrerade efter 3 v</w:t>
            </w:r>
          </w:p>
        </w:tc>
        <w:tc>
          <w:tcPr>
            <w:tcW w:w="1021" w:type="dxa"/>
            <w:vAlign w:val="center"/>
          </w:tcPr>
          <w:p w14:paraId="366F80FA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6EB3D65A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27E2BAC2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3A0E9668" w14:textId="77777777" w:rsidR="001528AD" w:rsidRPr="00B32939" w:rsidRDefault="001528AD" w:rsidP="00E905BE">
            <w:pPr>
              <w:pStyle w:val="VP-Brdtext"/>
              <w:spacing w:line="276" w:lineRule="auto"/>
              <w:jc w:val="right"/>
            </w:pPr>
            <w:r w:rsidRPr="00B32939">
              <w:t>Varav män</w:t>
            </w:r>
          </w:p>
        </w:tc>
        <w:tc>
          <w:tcPr>
            <w:tcW w:w="1021" w:type="dxa"/>
            <w:vAlign w:val="center"/>
          </w:tcPr>
          <w:p w14:paraId="5CACE60D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70026B7E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52329D2C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4023733A" w14:textId="77777777" w:rsidR="001528AD" w:rsidRPr="00B32939" w:rsidRDefault="001528AD" w:rsidP="00E905BE">
            <w:pPr>
              <w:pStyle w:val="VP-Brdtext"/>
              <w:spacing w:line="276" w:lineRule="auto"/>
              <w:jc w:val="right"/>
            </w:pPr>
            <w:r w:rsidRPr="00B32939">
              <w:t>Varav kvinnor</w:t>
            </w:r>
          </w:p>
        </w:tc>
        <w:tc>
          <w:tcPr>
            <w:tcW w:w="1021" w:type="dxa"/>
            <w:vAlign w:val="center"/>
          </w:tcPr>
          <w:p w14:paraId="2B084E3D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78AE4FA6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4D4A502C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7AC48336" w14:textId="77777777" w:rsidR="001528AD" w:rsidRPr="00B32939" w:rsidRDefault="001906DA" w:rsidP="00B32939">
            <w:pPr>
              <w:pStyle w:val="VP-Brdtext"/>
              <w:spacing w:line="276" w:lineRule="auto"/>
            </w:pPr>
            <w:r w:rsidRPr="00B32939">
              <w:t>Genomströmning</w:t>
            </w:r>
          </w:p>
        </w:tc>
        <w:tc>
          <w:tcPr>
            <w:tcW w:w="1021" w:type="dxa"/>
            <w:vAlign w:val="center"/>
          </w:tcPr>
          <w:p w14:paraId="5FEAB3D7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4A021772" w14:textId="77777777" w:rsidR="001528AD" w:rsidRDefault="001528AD" w:rsidP="00E86A3D">
            <w:pPr>
              <w:pStyle w:val="VP-Brdtext"/>
              <w:spacing w:line="276" w:lineRule="auto"/>
              <w:jc w:val="center"/>
            </w:pPr>
          </w:p>
        </w:tc>
      </w:tr>
      <w:tr w:rsidR="00E905BE" w14:paraId="2A1D8AEB" w14:textId="77777777" w:rsidTr="00E86A3D">
        <w:tc>
          <w:tcPr>
            <w:tcW w:w="2155" w:type="dxa"/>
            <w:tcBorders>
              <w:left w:val="nil"/>
            </w:tcBorders>
            <w:vAlign w:val="center"/>
          </w:tcPr>
          <w:p w14:paraId="36F28712" w14:textId="77777777" w:rsidR="00E905BE" w:rsidRPr="00B32939" w:rsidRDefault="00E905BE" w:rsidP="00E905BE">
            <w:pPr>
              <w:pStyle w:val="VP-Brdtext"/>
              <w:spacing w:line="276" w:lineRule="auto"/>
              <w:jc w:val="right"/>
            </w:pPr>
            <w:r w:rsidRPr="00B32939">
              <w:t>Varav män</w:t>
            </w:r>
          </w:p>
        </w:tc>
        <w:tc>
          <w:tcPr>
            <w:tcW w:w="1021" w:type="dxa"/>
            <w:vAlign w:val="center"/>
          </w:tcPr>
          <w:p w14:paraId="11348446" w14:textId="77777777" w:rsidR="00E905BE" w:rsidRDefault="00E905BE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14:paraId="26C336E4" w14:textId="77777777" w:rsidR="00E905BE" w:rsidRDefault="00E905BE" w:rsidP="00E86A3D">
            <w:pPr>
              <w:pStyle w:val="VP-Brdtext"/>
              <w:spacing w:line="276" w:lineRule="auto"/>
              <w:jc w:val="center"/>
            </w:pPr>
          </w:p>
        </w:tc>
      </w:tr>
      <w:tr w:rsidR="00E905BE" w14:paraId="6CAE3967" w14:textId="77777777" w:rsidTr="00E86A3D">
        <w:tc>
          <w:tcPr>
            <w:tcW w:w="2155" w:type="dxa"/>
            <w:tcBorders>
              <w:left w:val="nil"/>
              <w:bottom w:val="single" w:sz="4" w:space="0" w:color="auto"/>
            </w:tcBorders>
            <w:vAlign w:val="center"/>
          </w:tcPr>
          <w:p w14:paraId="4A6714CA" w14:textId="77777777" w:rsidR="00E905BE" w:rsidRPr="00B32939" w:rsidRDefault="00E905BE" w:rsidP="00E905BE">
            <w:pPr>
              <w:pStyle w:val="VP-Brdtext"/>
              <w:spacing w:line="276" w:lineRule="auto"/>
              <w:jc w:val="right"/>
            </w:pPr>
            <w:r w:rsidRPr="00B32939">
              <w:t>Varav kvinnor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F9564CB" w14:textId="77777777" w:rsidR="00E905BE" w:rsidRDefault="00E905BE" w:rsidP="00E86A3D">
            <w:pPr>
              <w:pStyle w:val="VP-Brdtext"/>
              <w:spacing w:line="276" w:lineRule="auto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  <w:right w:val="nil"/>
            </w:tcBorders>
            <w:vAlign w:val="center"/>
          </w:tcPr>
          <w:p w14:paraId="5148B0AA" w14:textId="77777777" w:rsidR="00E905BE" w:rsidRDefault="00E905BE" w:rsidP="00E86A3D">
            <w:pPr>
              <w:pStyle w:val="VP-Brdtext"/>
              <w:spacing w:line="276" w:lineRule="auto"/>
              <w:jc w:val="center"/>
            </w:pPr>
          </w:p>
        </w:tc>
      </w:tr>
      <w:tr w:rsidR="001528AD" w14:paraId="66895713" w14:textId="77777777" w:rsidTr="00E86A3D"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72DD27D7" w14:textId="77777777" w:rsidR="001528AD" w:rsidRPr="00B32939" w:rsidRDefault="00E905BE" w:rsidP="00B32939">
            <w:pPr>
              <w:pStyle w:val="VP-Brdtext"/>
            </w:pPr>
            <w:r>
              <w:t>Uttagna examina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294E5406" w14:textId="77777777" w:rsidR="001528AD" w:rsidRDefault="001528AD" w:rsidP="00E86A3D">
            <w:pPr>
              <w:pStyle w:val="VP-Brdtext"/>
              <w:jc w:val="center"/>
            </w:pPr>
          </w:p>
        </w:tc>
        <w:tc>
          <w:tcPr>
            <w:tcW w:w="1021" w:type="dxa"/>
            <w:tcBorders>
              <w:bottom w:val="nil"/>
              <w:right w:val="nil"/>
            </w:tcBorders>
            <w:vAlign w:val="center"/>
          </w:tcPr>
          <w:p w14:paraId="3CFA39D4" w14:textId="77777777" w:rsidR="001528AD" w:rsidRDefault="001528AD" w:rsidP="00E86A3D">
            <w:pPr>
              <w:pStyle w:val="VP-Brdtext"/>
              <w:jc w:val="center"/>
            </w:pPr>
          </w:p>
        </w:tc>
      </w:tr>
    </w:tbl>
    <w:p w14:paraId="17C8DC20" w14:textId="5C8A32EC" w:rsidR="00A956DD" w:rsidRPr="007F7304" w:rsidRDefault="007F7304" w:rsidP="00822162">
      <w:pPr>
        <w:pStyle w:val="VP-Brdtext"/>
        <w:rPr>
          <w:rFonts w:ascii="Arial" w:hAnsi="Arial" w:cs="Arial"/>
          <w:b/>
        </w:rPr>
      </w:pPr>
      <w:r w:rsidRPr="007F7304">
        <w:rPr>
          <w:rFonts w:ascii="Arial" w:hAnsi="Arial" w:cs="Arial"/>
          <w:b/>
        </w:rPr>
        <w:t>Internationalisering i utbildningen</w:t>
      </w:r>
    </w:p>
    <w:p w14:paraId="3B349C2A" w14:textId="28DD3DFB" w:rsidR="007F7304" w:rsidRDefault="007F7304" w:rsidP="007F7304">
      <w:pPr>
        <w:pStyle w:val="VP-Brdtext"/>
      </w:pPr>
      <w:r w:rsidRPr="00716A8B">
        <w:t xml:space="preserve">Fakultetsledningen har möjlighet </w:t>
      </w:r>
      <w:r>
        <w:t xml:space="preserve">inför varje år att ställa specifika frågor utifrån aktuella diskussioner. Denna omgång </w:t>
      </w:r>
      <w:r w:rsidR="00430E98">
        <w:t>har två</w:t>
      </w:r>
      <w:r>
        <w:t xml:space="preserve"> perspektiv som varit föremål för central kartläggning</w:t>
      </w:r>
      <w:r w:rsidR="00430E98">
        <w:t xml:space="preserve"> valts ut</w:t>
      </w:r>
      <w:r>
        <w:t xml:space="preserve">: Internationalisering och perspektiv på hållbar utveckling. Under denna rubrik beskrivs hur internationella perspektiv </w:t>
      </w:r>
      <w:r w:rsidR="001010AE">
        <w:t>uppmärksammas</w:t>
      </w:r>
      <w:r>
        <w:t xml:space="preserve"> på programmet</w:t>
      </w:r>
      <w:r w:rsidR="00A72A99">
        <w:t xml:space="preserve"> genom exempel (gästföreläsare, resor/exkursioner, utbyten, internationella perspektiv på innehåll mm)</w:t>
      </w:r>
    </w:p>
    <w:p w14:paraId="7D7BD9CF" w14:textId="77777777" w:rsidR="007F7304" w:rsidRDefault="007F7304" w:rsidP="007F7304">
      <w:pPr>
        <w:pStyle w:val="VP-Brdtext"/>
      </w:pPr>
    </w:p>
    <w:p w14:paraId="135FC80C" w14:textId="3CD07B46" w:rsidR="007F7304" w:rsidRPr="007F7304" w:rsidRDefault="007F7304" w:rsidP="007F7304">
      <w:pPr>
        <w:pStyle w:val="VP-Brdtext"/>
        <w:rPr>
          <w:rFonts w:ascii="Arial" w:hAnsi="Arial" w:cs="Arial"/>
          <w:b/>
        </w:rPr>
      </w:pPr>
      <w:r w:rsidRPr="007F7304">
        <w:rPr>
          <w:rFonts w:ascii="Arial" w:hAnsi="Arial" w:cs="Arial"/>
          <w:b/>
        </w:rPr>
        <w:t>Perspektiv på hållbar utveckling</w:t>
      </w:r>
    </w:p>
    <w:p w14:paraId="0A70A39F" w14:textId="2A768D3E" w:rsidR="009F4FA8" w:rsidRDefault="00A72A99" w:rsidP="007F7304">
      <w:pPr>
        <w:pStyle w:val="VP-Brdtext"/>
      </w:pPr>
      <w:r>
        <w:t xml:space="preserve">Universitetet ska förbereda studenterna för framtida utmaningar som formulerats enligt </w:t>
      </w:r>
      <w:proofErr w:type="gramStart"/>
      <w:r>
        <w:t>FNs</w:t>
      </w:r>
      <w:proofErr w:type="gramEnd"/>
      <w:r>
        <w:t xml:space="preserve"> hållbarhetsmål Agenda 2030. Här beskrivs hur prog</w:t>
      </w:r>
      <w:r w:rsidR="00BA0DCD">
        <w:t>rammet i dagsläget förhåller sig till målen med exempel</w:t>
      </w:r>
      <w:r w:rsidR="004C46D2">
        <w:t xml:space="preserve"> på vilka mål som adresseras och på vilket sätt</w:t>
      </w:r>
      <w:r w:rsidR="009F4FA8">
        <w:t xml:space="preserve">. För mer om målen i Agenda 2030 se exempelvis: </w:t>
      </w:r>
      <w:hyperlink r:id="rId4" w:history="1">
        <w:r w:rsidR="008B518A" w:rsidRPr="00DC7D6E">
          <w:rPr>
            <w:rStyle w:val="Hyperlnk"/>
          </w:rPr>
          <w:t>http://www.globalamalen.se</w:t>
        </w:r>
      </w:hyperlink>
    </w:p>
    <w:p w14:paraId="79485F5F" w14:textId="77777777" w:rsidR="008B518A" w:rsidRPr="00716A8B" w:rsidRDefault="008B518A" w:rsidP="007F7304">
      <w:pPr>
        <w:pStyle w:val="VP-Brdtext"/>
      </w:pPr>
      <w:bookmarkStart w:id="0" w:name="_GoBack"/>
      <w:bookmarkEnd w:id="0"/>
    </w:p>
    <w:p w14:paraId="624C6513" w14:textId="77777777" w:rsidR="007F7304" w:rsidRDefault="007F7304" w:rsidP="00822162">
      <w:pPr>
        <w:pStyle w:val="VP-Brdtext"/>
      </w:pPr>
    </w:p>
    <w:sectPr w:rsidR="007F7304" w:rsidSect="00526FBA">
      <w:pgSz w:w="11900" w:h="16840"/>
      <w:pgMar w:top="1418" w:right="1418" w:bottom="1418" w:left="1418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4"/>
    <w:rsid w:val="001010AE"/>
    <w:rsid w:val="001528AD"/>
    <w:rsid w:val="001906DA"/>
    <w:rsid w:val="002319AB"/>
    <w:rsid w:val="003F5824"/>
    <w:rsid w:val="00430E98"/>
    <w:rsid w:val="004C46D2"/>
    <w:rsid w:val="00526FBA"/>
    <w:rsid w:val="007B3126"/>
    <w:rsid w:val="007F7304"/>
    <w:rsid w:val="00822162"/>
    <w:rsid w:val="008B518A"/>
    <w:rsid w:val="009F4FA8"/>
    <w:rsid w:val="00A72A99"/>
    <w:rsid w:val="00A956DD"/>
    <w:rsid w:val="00B32939"/>
    <w:rsid w:val="00BA0DCD"/>
    <w:rsid w:val="00E127B1"/>
    <w:rsid w:val="00E86A3D"/>
    <w:rsid w:val="00E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30E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rdtext">
    <w:name w:val="Body Text"/>
    <w:basedOn w:val="BasicParagraph"/>
    <w:link w:val="BrdtextChar"/>
    <w:uiPriority w:val="99"/>
    <w:rsid w:val="00526FBA"/>
    <w:pPr>
      <w:spacing w:line="280" w:lineRule="atLeast"/>
    </w:pPr>
    <w:rPr>
      <w:rFonts w:ascii="Georgia" w:hAnsi="Georgia" w:cs="Georgia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26FBA"/>
    <w:rPr>
      <w:rFonts w:ascii="Georgia" w:hAnsi="Georgia" w:cs="Georgia"/>
      <w:color w:val="000000"/>
      <w:sz w:val="20"/>
      <w:szCs w:val="20"/>
    </w:rPr>
  </w:style>
  <w:style w:type="table" w:styleId="Tabellrutnt">
    <w:name w:val="Table Grid"/>
    <w:basedOn w:val="Normaltabell"/>
    <w:uiPriority w:val="59"/>
    <w:rsid w:val="0015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-Rubrik">
    <w:name w:val="VP-Rubrik"/>
    <w:basedOn w:val="BasicParagraph"/>
    <w:qFormat/>
    <w:rsid w:val="00526FBA"/>
    <w:rPr>
      <w:rFonts w:ascii="Arial" w:hAnsi="Arial" w:cs="Arial"/>
      <w:sz w:val="36"/>
      <w:szCs w:val="36"/>
    </w:rPr>
  </w:style>
  <w:style w:type="paragraph" w:customStyle="1" w:styleId="VP-Underrubrik">
    <w:name w:val="VP-Underrubrik"/>
    <w:basedOn w:val="Brdtext"/>
    <w:link w:val="VP-UnderrubrikChar"/>
    <w:qFormat/>
    <w:rsid w:val="00822162"/>
    <w:pPr>
      <w:spacing w:line="360" w:lineRule="auto"/>
    </w:pPr>
    <w:rPr>
      <w:rFonts w:ascii="Arial" w:hAnsi="Arial" w:cs="Arial"/>
      <w:b/>
      <w:bCs/>
    </w:rPr>
  </w:style>
  <w:style w:type="character" w:customStyle="1" w:styleId="VP-UnderrubrikChar">
    <w:name w:val="VP-Underrubrik Char"/>
    <w:basedOn w:val="BrdtextChar"/>
    <w:link w:val="VP-Underrubrik"/>
    <w:rsid w:val="00822162"/>
    <w:rPr>
      <w:rFonts w:ascii="Arial" w:hAnsi="Arial" w:cs="Arial"/>
      <w:b/>
      <w:bCs/>
      <w:color w:val="000000"/>
      <w:sz w:val="20"/>
      <w:szCs w:val="20"/>
    </w:rPr>
  </w:style>
  <w:style w:type="paragraph" w:customStyle="1" w:styleId="VP-Brdtext">
    <w:name w:val="VP-Brödtext"/>
    <w:basedOn w:val="Brdtext"/>
    <w:link w:val="VP-BrdtextChar"/>
    <w:qFormat/>
    <w:rsid w:val="00822162"/>
    <w:pPr>
      <w:spacing w:line="360" w:lineRule="auto"/>
    </w:pPr>
  </w:style>
  <w:style w:type="character" w:customStyle="1" w:styleId="VP-BrdtextChar">
    <w:name w:val="VP-Brödtext Char"/>
    <w:basedOn w:val="BrdtextChar"/>
    <w:link w:val="VP-Brdtext"/>
    <w:rsid w:val="00822162"/>
    <w:rPr>
      <w:rFonts w:ascii="Georgia" w:hAnsi="Georgia" w:cs="Georgia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730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730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7304"/>
  </w:style>
  <w:style w:type="paragraph" w:styleId="Ballongtext">
    <w:name w:val="Balloon Text"/>
    <w:basedOn w:val="Normal"/>
    <w:link w:val="BallongtextChar"/>
    <w:uiPriority w:val="99"/>
    <w:semiHidden/>
    <w:unhideWhenUsed/>
    <w:rsid w:val="007F730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04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F4FA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F4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lobalamalen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/Downloads/mallvbv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mallvbvp.dotx</Template>
  <TotalTime>21</TotalTime>
  <Pages>1</Pages>
  <Words>382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7</cp:revision>
  <dcterms:created xsi:type="dcterms:W3CDTF">2018-10-24T08:38:00Z</dcterms:created>
  <dcterms:modified xsi:type="dcterms:W3CDTF">2018-10-25T10:22:00Z</dcterms:modified>
</cp:coreProperties>
</file>