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EDFC6" w14:textId="77777777" w:rsidR="0036126D" w:rsidRDefault="00CD1814" w:rsidP="00B30929">
      <w:pPr>
        <w:pStyle w:val="Title"/>
        <w:ind w:right="623"/>
      </w:pPr>
      <w:r>
        <w:t xml:space="preserve">KTH:s </w:t>
      </w:r>
      <w:r w:rsidR="00A804DF">
        <w:t>preliminära underlag för VR:s behovsinventering 2015</w:t>
      </w:r>
      <w:r w:rsidR="0036126D">
        <w:t xml:space="preserve"> </w:t>
      </w:r>
    </w:p>
    <w:p w14:paraId="168BB547" w14:textId="77777777" w:rsidR="0036126D" w:rsidRDefault="00515001" w:rsidP="00B30929">
      <w:pPr>
        <w:pStyle w:val="Subtitle"/>
        <w:ind w:right="623"/>
      </w:pPr>
      <w:sdt>
        <w:sdtPr>
          <w:id w:val="1859783875"/>
          <w:placeholder>
            <w:docPart w:val="1C0182B46DCD42579B79AD407DE8CDF9"/>
          </w:placeholder>
        </w:sdtPr>
        <w:sdtEndPr/>
        <w:sdtContent>
          <w:r w:rsidR="00A804DF">
            <w:t xml:space="preserve">Sammanfattning av KTH:s önskade satsningar avseende behov av nationella infrastrukturer </w:t>
          </w:r>
        </w:sdtContent>
      </w:sdt>
      <w:r w:rsidR="0036126D">
        <w:t xml:space="preserve"> </w:t>
      </w:r>
    </w:p>
    <w:p w14:paraId="08B6327F" w14:textId="77777777" w:rsidR="0036126D" w:rsidRPr="00B00BC7" w:rsidRDefault="0036126D" w:rsidP="00B30929">
      <w:pPr>
        <w:pStyle w:val="BodyText"/>
        <w:ind w:right="623"/>
      </w:pPr>
      <w:r w:rsidRPr="00B00BC7">
        <w:br w:type="page"/>
      </w:r>
    </w:p>
    <w:p w14:paraId="50BBF379" w14:textId="77777777" w:rsidR="0036126D" w:rsidRPr="0035043D" w:rsidRDefault="00D569C6" w:rsidP="00B30929">
      <w:pPr>
        <w:pStyle w:val="Heading1"/>
        <w:ind w:right="623"/>
      </w:pPr>
      <w:bookmarkStart w:id="0" w:name="_Toc421108485"/>
      <w:r>
        <w:lastRenderedPageBreak/>
        <w:t>Bakgrund</w:t>
      </w:r>
      <w:bookmarkEnd w:id="0"/>
    </w:p>
    <w:p w14:paraId="557851C8" w14:textId="77777777" w:rsidR="00262504" w:rsidRDefault="00A804DF" w:rsidP="00B30929">
      <w:pPr>
        <w:pStyle w:val="BodyText"/>
        <w:ind w:right="623"/>
      </w:pPr>
      <w:r>
        <w:t xml:space="preserve">Som underlag för denna sammanställning har KTH:s skolchefer ombetts skicka in underlag till Vicerektor för forskning. De listade förslagen är av varierande grad förankrade hos andra lärosäten. </w:t>
      </w:r>
    </w:p>
    <w:p w14:paraId="03E643EC" w14:textId="77777777" w:rsidR="0038598E" w:rsidRDefault="00A804DF" w:rsidP="00B30929">
      <w:pPr>
        <w:pStyle w:val="BodyText"/>
        <w:ind w:right="623"/>
      </w:pPr>
      <w:r>
        <w:t xml:space="preserve">I de fall som de föreslagna infrastrukturerna </w:t>
      </w:r>
      <w:r w:rsidR="00262504">
        <w:t xml:space="preserve">har </w:t>
      </w:r>
      <w:r>
        <w:t>lämnat in underlag utifrån de punkter som VR specificerat skall ingå i behovsanmälan (se nedan)</w:t>
      </w:r>
      <w:r w:rsidR="00262504">
        <w:t xml:space="preserve"> så</w:t>
      </w:r>
      <w:r>
        <w:t xml:space="preserve"> finns de med i sammanställningen.</w:t>
      </w:r>
    </w:p>
    <w:p w14:paraId="33C8552E" w14:textId="77777777" w:rsidR="0038598E" w:rsidRDefault="0038598E" w:rsidP="00B30929">
      <w:pPr>
        <w:pStyle w:val="ListParagraph"/>
        <w:numPr>
          <w:ilvl w:val="0"/>
          <w:numId w:val="14"/>
        </w:numPr>
        <w:ind w:right="623"/>
      </w:pPr>
      <w:r>
        <w:t>Uppskattat antal användare</w:t>
      </w:r>
    </w:p>
    <w:p w14:paraId="27789224" w14:textId="77777777" w:rsidR="0038598E" w:rsidRDefault="0038598E" w:rsidP="00B30929">
      <w:pPr>
        <w:pStyle w:val="ListParagraph"/>
        <w:numPr>
          <w:ilvl w:val="0"/>
          <w:numId w:val="14"/>
        </w:numPr>
        <w:ind w:right="623"/>
      </w:pPr>
      <w:r>
        <w:t>Användarnas ämnesområde(n)</w:t>
      </w:r>
    </w:p>
    <w:p w14:paraId="578B2D0B" w14:textId="77777777" w:rsidR="0038598E" w:rsidRDefault="0038598E" w:rsidP="00B30929">
      <w:pPr>
        <w:pStyle w:val="ListParagraph"/>
        <w:numPr>
          <w:ilvl w:val="0"/>
          <w:numId w:val="14"/>
        </w:numPr>
        <w:ind w:right="623"/>
      </w:pPr>
      <w:r>
        <w:t xml:space="preserve">Science </w:t>
      </w:r>
      <w:proofErr w:type="spellStart"/>
      <w:r>
        <w:t>case</w:t>
      </w:r>
      <w:proofErr w:type="spellEnd"/>
      <w:r>
        <w:t>/vetenskaplig relevans för infrastrukturen</w:t>
      </w:r>
    </w:p>
    <w:p w14:paraId="114BE128" w14:textId="77777777" w:rsidR="0038598E" w:rsidRDefault="0038598E" w:rsidP="00B30929">
      <w:pPr>
        <w:pStyle w:val="ListParagraph"/>
        <w:numPr>
          <w:ilvl w:val="0"/>
          <w:numId w:val="14"/>
        </w:numPr>
        <w:ind w:right="623"/>
      </w:pPr>
      <w:r>
        <w:t>Plan/beskrivning av tillgänglighet, utbildning med mera</w:t>
      </w:r>
    </w:p>
    <w:p w14:paraId="27096D10" w14:textId="77777777" w:rsidR="0038598E" w:rsidRDefault="0038598E" w:rsidP="00B30929">
      <w:pPr>
        <w:pStyle w:val="ListParagraph"/>
        <w:numPr>
          <w:ilvl w:val="0"/>
          <w:numId w:val="14"/>
        </w:numPr>
        <w:ind w:right="623"/>
      </w:pPr>
      <w:r>
        <w:t>Behov av datahantering</w:t>
      </w:r>
    </w:p>
    <w:p w14:paraId="2FA9B4C3" w14:textId="77777777" w:rsidR="0038598E" w:rsidRDefault="0038598E" w:rsidP="00B30929">
      <w:pPr>
        <w:pStyle w:val="ListParagraph"/>
        <w:numPr>
          <w:ilvl w:val="0"/>
          <w:numId w:val="14"/>
        </w:numPr>
        <w:ind w:right="623"/>
      </w:pPr>
      <w:r>
        <w:t xml:space="preserve">Uppskattad kostnad for investeringar </w:t>
      </w:r>
    </w:p>
    <w:p w14:paraId="1C886E4A" w14:textId="77777777" w:rsidR="00435A6D" w:rsidRDefault="0038598E" w:rsidP="00B30929">
      <w:pPr>
        <w:pStyle w:val="ListParagraph"/>
        <w:numPr>
          <w:ilvl w:val="0"/>
          <w:numId w:val="14"/>
        </w:numPr>
        <w:ind w:right="623"/>
      </w:pPr>
      <w:r>
        <w:t>Uppskattad årlig drifts</w:t>
      </w:r>
      <w:r w:rsidR="00435A6D">
        <w:t>kostnad</w:t>
      </w:r>
    </w:p>
    <w:p w14:paraId="38FBD15E" w14:textId="77777777" w:rsidR="0036126D" w:rsidRDefault="0038598E" w:rsidP="00B30929">
      <w:pPr>
        <w:pStyle w:val="ListParagraph"/>
        <w:numPr>
          <w:ilvl w:val="0"/>
          <w:numId w:val="13"/>
        </w:numPr>
        <w:ind w:right="623"/>
      </w:pPr>
      <w:r>
        <w:t xml:space="preserve">Tidsplan  </w:t>
      </w:r>
      <w:r w:rsidR="0036126D">
        <w:br w:type="page"/>
      </w:r>
    </w:p>
    <w:sdt>
      <w:sdtPr>
        <w:rPr>
          <w:rFonts w:asciiTheme="minorHAnsi" w:hAnsiTheme="minorHAnsi"/>
          <w:b w:val="0"/>
          <w:sz w:val="20"/>
        </w:rPr>
        <w:id w:val="1070931330"/>
        <w:docPartObj>
          <w:docPartGallery w:val="Table of Contents"/>
          <w:docPartUnique/>
        </w:docPartObj>
      </w:sdtPr>
      <w:sdtEndPr>
        <w:rPr>
          <w:bCs/>
        </w:rPr>
      </w:sdtEndPr>
      <w:sdtContent>
        <w:p w14:paraId="2F9BDDBD" w14:textId="77777777" w:rsidR="0036126D" w:rsidRDefault="0036126D" w:rsidP="00B30929">
          <w:pPr>
            <w:pStyle w:val="TOCHeading"/>
            <w:ind w:right="623"/>
          </w:pPr>
          <w:r>
            <w:t>Innehåll</w:t>
          </w:r>
        </w:p>
        <w:p w14:paraId="2C439CAA" w14:textId="77777777" w:rsidR="00515001" w:rsidRDefault="0036126D">
          <w:pPr>
            <w:pStyle w:val="TOC1"/>
            <w:tabs>
              <w:tab w:val="right" w:leader="dot" w:pos="9118"/>
            </w:tabs>
            <w:rPr>
              <w:rFonts w:eastAsiaTheme="minorEastAsia"/>
              <w:noProof/>
              <w:sz w:val="22"/>
              <w:szCs w:val="22"/>
              <w:lang w:eastAsia="sv-SE"/>
            </w:rPr>
          </w:pPr>
          <w:r>
            <w:fldChar w:fldCharType="begin"/>
          </w:r>
          <w:r>
            <w:instrText xml:space="preserve"> TOC \o "1-3" \h \z \u </w:instrText>
          </w:r>
          <w:r>
            <w:fldChar w:fldCharType="separate"/>
          </w:r>
          <w:hyperlink w:anchor="_Toc421108485" w:history="1">
            <w:r w:rsidR="00515001" w:rsidRPr="00F736BC">
              <w:rPr>
                <w:rStyle w:val="Hyperlink"/>
                <w:noProof/>
              </w:rPr>
              <w:t>Bakgrund</w:t>
            </w:r>
            <w:r w:rsidR="00515001">
              <w:rPr>
                <w:noProof/>
                <w:webHidden/>
              </w:rPr>
              <w:tab/>
            </w:r>
            <w:r w:rsidR="00515001">
              <w:rPr>
                <w:noProof/>
                <w:webHidden/>
              </w:rPr>
              <w:fldChar w:fldCharType="begin"/>
            </w:r>
            <w:r w:rsidR="00515001">
              <w:rPr>
                <w:noProof/>
                <w:webHidden/>
              </w:rPr>
              <w:instrText xml:space="preserve"> PAGEREF _Toc421108485 \h </w:instrText>
            </w:r>
            <w:r w:rsidR="00515001">
              <w:rPr>
                <w:noProof/>
                <w:webHidden/>
              </w:rPr>
            </w:r>
            <w:r w:rsidR="00515001">
              <w:rPr>
                <w:noProof/>
                <w:webHidden/>
              </w:rPr>
              <w:fldChar w:fldCharType="separate"/>
            </w:r>
            <w:r w:rsidR="00515001">
              <w:rPr>
                <w:noProof/>
                <w:webHidden/>
              </w:rPr>
              <w:t>2</w:t>
            </w:r>
            <w:r w:rsidR="00515001">
              <w:rPr>
                <w:noProof/>
                <w:webHidden/>
              </w:rPr>
              <w:fldChar w:fldCharType="end"/>
            </w:r>
          </w:hyperlink>
        </w:p>
        <w:p w14:paraId="38DDFF26" w14:textId="77777777" w:rsidR="00515001" w:rsidRDefault="00515001">
          <w:pPr>
            <w:pStyle w:val="TOC1"/>
            <w:tabs>
              <w:tab w:val="right" w:leader="dot" w:pos="9118"/>
            </w:tabs>
            <w:rPr>
              <w:rFonts w:eastAsiaTheme="minorEastAsia"/>
              <w:noProof/>
              <w:sz w:val="22"/>
              <w:szCs w:val="22"/>
              <w:lang w:eastAsia="sv-SE"/>
            </w:rPr>
          </w:pPr>
          <w:hyperlink w:anchor="_Toc421108486" w:history="1">
            <w:r w:rsidRPr="00F736BC">
              <w:rPr>
                <w:rStyle w:val="Hyperlink"/>
                <w:noProof/>
              </w:rPr>
              <w:t>Förslag på nationella infrastrukturer</w:t>
            </w:r>
            <w:r>
              <w:rPr>
                <w:noProof/>
                <w:webHidden/>
              </w:rPr>
              <w:tab/>
            </w:r>
            <w:r>
              <w:rPr>
                <w:noProof/>
                <w:webHidden/>
              </w:rPr>
              <w:fldChar w:fldCharType="begin"/>
            </w:r>
            <w:r>
              <w:rPr>
                <w:noProof/>
                <w:webHidden/>
              </w:rPr>
              <w:instrText xml:space="preserve"> PAGEREF _Toc421108486 \h </w:instrText>
            </w:r>
            <w:r>
              <w:rPr>
                <w:noProof/>
                <w:webHidden/>
              </w:rPr>
            </w:r>
            <w:r>
              <w:rPr>
                <w:noProof/>
                <w:webHidden/>
              </w:rPr>
              <w:fldChar w:fldCharType="separate"/>
            </w:r>
            <w:r>
              <w:rPr>
                <w:noProof/>
                <w:webHidden/>
              </w:rPr>
              <w:t>4</w:t>
            </w:r>
            <w:r>
              <w:rPr>
                <w:noProof/>
                <w:webHidden/>
              </w:rPr>
              <w:fldChar w:fldCharType="end"/>
            </w:r>
          </w:hyperlink>
        </w:p>
        <w:p w14:paraId="37922308" w14:textId="77777777" w:rsidR="00515001" w:rsidRDefault="00515001">
          <w:pPr>
            <w:pStyle w:val="TOC2"/>
            <w:tabs>
              <w:tab w:val="right" w:leader="dot" w:pos="9118"/>
            </w:tabs>
            <w:rPr>
              <w:rFonts w:eastAsiaTheme="minorEastAsia"/>
              <w:noProof/>
              <w:sz w:val="22"/>
              <w:szCs w:val="22"/>
              <w:lang w:eastAsia="sv-SE"/>
            </w:rPr>
          </w:pPr>
          <w:hyperlink w:anchor="_Toc421108487" w:history="1">
            <w:r w:rsidRPr="00F736BC">
              <w:rPr>
                <w:rStyle w:val="Hyperlink"/>
                <w:noProof/>
              </w:rPr>
              <w:t>Robotar &amp; autonoma system</w:t>
            </w:r>
            <w:r>
              <w:rPr>
                <w:noProof/>
                <w:webHidden/>
              </w:rPr>
              <w:tab/>
            </w:r>
            <w:r>
              <w:rPr>
                <w:noProof/>
                <w:webHidden/>
              </w:rPr>
              <w:fldChar w:fldCharType="begin"/>
            </w:r>
            <w:r>
              <w:rPr>
                <w:noProof/>
                <w:webHidden/>
              </w:rPr>
              <w:instrText xml:space="preserve"> PAGEREF _Toc421108487 \h </w:instrText>
            </w:r>
            <w:r>
              <w:rPr>
                <w:noProof/>
                <w:webHidden/>
              </w:rPr>
            </w:r>
            <w:r>
              <w:rPr>
                <w:noProof/>
                <w:webHidden/>
              </w:rPr>
              <w:fldChar w:fldCharType="separate"/>
            </w:r>
            <w:r>
              <w:rPr>
                <w:noProof/>
                <w:webHidden/>
              </w:rPr>
              <w:t>4</w:t>
            </w:r>
            <w:r>
              <w:rPr>
                <w:noProof/>
                <w:webHidden/>
              </w:rPr>
              <w:fldChar w:fldCharType="end"/>
            </w:r>
          </w:hyperlink>
        </w:p>
        <w:p w14:paraId="7C56B5A8" w14:textId="77777777" w:rsidR="00515001" w:rsidRDefault="00515001">
          <w:pPr>
            <w:pStyle w:val="TOC2"/>
            <w:tabs>
              <w:tab w:val="right" w:leader="dot" w:pos="9118"/>
            </w:tabs>
            <w:rPr>
              <w:rFonts w:eastAsiaTheme="minorEastAsia"/>
              <w:noProof/>
              <w:sz w:val="22"/>
              <w:szCs w:val="22"/>
              <w:lang w:eastAsia="sv-SE"/>
            </w:rPr>
          </w:pPr>
          <w:hyperlink w:anchor="_Toc421108488" w:history="1">
            <w:r w:rsidRPr="00F736BC">
              <w:rPr>
                <w:rStyle w:val="Hyperlink"/>
                <w:noProof/>
              </w:rPr>
              <w:t>Nodes-4-Visualization</w:t>
            </w:r>
            <w:r>
              <w:rPr>
                <w:noProof/>
                <w:webHidden/>
              </w:rPr>
              <w:tab/>
            </w:r>
            <w:r>
              <w:rPr>
                <w:noProof/>
                <w:webHidden/>
              </w:rPr>
              <w:fldChar w:fldCharType="begin"/>
            </w:r>
            <w:r>
              <w:rPr>
                <w:noProof/>
                <w:webHidden/>
              </w:rPr>
              <w:instrText xml:space="preserve"> PAGEREF _Toc421108488 \h </w:instrText>
            </w:r>
            <w:r>
              <w:rPr>
                <w:noProof/>
                <w:webHidden/>
              </w:rPr>
            </w:r>
            <w:r>
              <w:rPr>
                <w:noProof/>
                <w:webHidden/>
              </w:rPr>
              <w:fldChar w:fldCharType="separate"/>
            </w:r>
            <w:r>
              <w:rPr>
                <w:noProof/>
                <w:webHidden/>
              </w:rPr>
              <w:t>4</w:t>
            </w:r>
            <w:r>
              <w:rPr>
                <w:noProof/>
                <w:webHidden/>
              </w:rPr>
              <w:fldChar w:fldCharType="end"/>
            </w:r>
          </w:hyperlink>
        </w:p>
        <w:p w14:paraId="2583E060" w14:textId="77777777" w:rsidR="00515001" w:rsidRDefault="00515001">
          <w:pPr>
            <w:pStyle w:val="TOC2"/>
            <w:tabs>
              <w:tab w:val="right" w:leader="dot" w:pos="9118"/>
            </w:tabs>
            <w:rPr>
              <w:rFonts w:eastAsiaTheme="minorEastAsia"/>
              <w:noProof/>
              <w:sz w:val="22"/>
              <w:szCs w:val="22"/>
              <w:lang w:eastAsia="sv-SE"/>
            </w:rPr>
          </w:pPr>
          <w:hyperlink w:anchor="_Toc421108489" w:history="1">
            <w:r w:rsidRPr="00F736BC">
              <w:rPr>
                <w:rStyle w:val="Hyperlink"/>
                <w:noProof/>
              </w:rPr>
              <w:t>Talteknologi – en nationell taldatabas</w:t>
            </w:r>
            <w:r>
              <w:rPr>
                <w:noProof/>
                <w:webHidden/>
              </w:rPr>
              <w:tab/>
            </w:r>
            <w:r>
              <w:rPr>
                <w:noProof/>
                <w:webHidden/>
              </w:rPr>
              <w:fldChar w:fldCharType="begin"/>
            </w:r>
            <w:r>
              <w:rPr>
                <w:noProof/>
                <w:webHidden/>
              </w:rPr>
              <w:instrText xml:space="preserve"> PAGEREF _Toc421108489 \h </w:instrText>
            </w:r>
            <w:r>
              <w:rPr>
                <w:noProof/>
                <w:webHidden/>
              </w:rPr>
            </w:r>
            <w:r>
              <w:rPr>
                <w:noProof/>
                <w:webHidden/>
              </w:rPr>
              <w:fldChar w:fldCharType="separate"/>
            </w:r>
            <w:r>
              <w:rPr>
                <w:noProof/>
                <w:webHidden/>
              </w:rPr>
              <w:t>5</w:t>
            </w:r>
            <w:r>
              <w:rPr>
                <w:noProof/>
                <w:webHidden/>
              </w:rPr>
              <w:fldChar w:fldCharType="end"/>
            </w:r>
          </w:hyperlink>
        </w:p>
        <w:p w14:paraId="4F437D8B" w14:textId="77777777" w:rsidR="00515001" w:rsidRDefault="00515001">
          <w:pPr>
            <w:pStyle w:val="TOC2"/>
            <w:tabs>
              <w:tab w:val="right" w:leader="dot" w:pos="9118"/>
            </w:tabs>
            <w:rPr>
              <w:rFonts w:eastAsiaTheme="minorEastAsia"/>
              <w:noProof/>
              <w:sz w:val="22"/>
              <w:szCs w:val="22"/>
              <w:lang w:eastAsia="sv-SE"/>
            </w:rPr>
          </w:pPr>
          <w:hyperlink w:anchor="_Toc421108490" w:history="1">
            <w:r w:rsidRPr="00F736BC">
              <w:rPr>
                <w:rStyle w:val="Hyperlink"/>
                <w:noProof/>
              </w:rPr>
              <w:t>Light for Science Laboratory</w:t>
            </w:r>
            <w:r>
              <w:rPr>
                <w:noProof/>
                <w:webHidden/>
              </w:rPr>
              <w:tab/>
            </w:r>
            <w:r>
              <w:rPr>
                <w:noProof/>
                <w:webHidden/>
              </w:rPr>
              <w:fldChar w:fldCharType="begin"/>
            </w:r>
            <w:r>
              <w:rPr>
                <w:noProof/>
                <w:webHidden/>
              </w:rPr>
              <w:instrText xml:space="preserve"> PAGEREF _Toc421108490 \h </w:instrText>
            </w:r>
            <w:r>
              <w:rPr>
                <w:noProof/>
                <w:webHidden/>
              </w:rPr>
            </w:r>
            <w:r>
              <w:rPr>
                <w:noProof/>
                <w:webHidden/>
              </w:rPr>
              <w:fldChar w:fldCharType="separate"/>
            </w:r>
            <w:r>
              <w:rPr>
                <w:noProof/>
                <w:webHidden/>
              </w:rPr>
              <w:t>6</w:t>
            </w:r>
            <w:r>
              <w:rPr>
                <w:noProof/>
                <w:webHidden/>
              </w:rPr>
              <w:fldChar w:fldCharType="end"/>
            </w:r>
          </w:hyperlink>
        </w:p>
        <w:p w14:paraId="6B341FF3" w14:textId="77777777" w:rsidR="00515001" w:rsidRDefault="00515001">
          <w:pPr>
            <w:pStyle w:val="TOC2"/>
            <w:tabs>
              <w:tab w:val="right" w:leader="dot" w:pos="9118"/>
            </w:tabs>
            <w:rPr>
              <w:rFonts w:eastAsiaTheme="minorEastAsia"/>
              <w:noProof/>
              <w:sz w:val="22"/>
              <w:szCs w:val="22"/>
              <w:lang w:eastAsia="sv-SE"/>
            </w:rPr>
          </w:pPr>
          <w:hyperlink w:anchor="_Toc421108491" w:history="1">
            <w:r w:rsidRPr="00F736BC">
              <w:rPr>
                <w:rStyle w:val="Hyperlink"/>
                <w:noProof/>
              </w:rPr>
              <w:t>A national Infrastructure for Quantum Technologies</w:t>
            </w:r>
            <w:r>
              <w:rPr>
                <w:noProof/>
                <w:webHidden/>
              </w:rPr>
              <w:tab/>
            </w:r>
            <w:r>
              <w:rPr>
                <w:noProof/>
                <w:webHidden/>
              </w:rPr>
              <w:fldChar w:fldCharType="begin"/>
            </w:r>
            <w:r>
              <w:rPr>
                <w:noProof/>
                <w:webHidden/>
              </w:rPr>
              <w:instrText xml:space="preserve"> PAGEREF _Toc421108491 \h </w:instrText>
            </w:r>
            <w:r>
              <w:rPr>
                <w:noProof/>
                <w:webHidden/>
              </w:rPr>
            </w:r>
            <w:r>
              <w:rPr>
                <w:noProof/>
                <w:webHidden/>
              </w:rPr>
              <w:fldChar w:fldCharType="separate"/>
            </w:r>
            <w:r>
              <w:rPr>
                <w:noProof/>
                <w:webHidden/>
              </w:rPr>
              <w:t>6</w:t>
            </w:r>
            <w:r>
              <w:rPr>
                <w:noProof/>
                <w:webHidden/>
              </w:rPr>
              <w:fldChar w:fldCharType="end"/>
            </w:r>
          </w:hyperlink>
        </w:p>
        <w:p w14:paraId="49BAA10B" w14:textId="77777777" w:rsidR="00515001" w:rsidRDefault="00515001">
          <w:pPr>
            <w:pStyle w:val="TOC2"/>
            <w:tabs>
              <w:tab w:val="right" w:leader="dot" w:pos="9118"/>
            </w:tabs>
            <w:rPr>
              <w:rFonts w:eastAsiaTheme="minorEastAsia"/>
              <w:noProof/>
              <w:sz w:val="22"/>
              <w:szCs w:val="22"/>
              <w:lang w:eastAsia="sv-SE"/>
            </w:rPr>
          </w:pPr>
          <w:hyperlink w:anchor="_Toc421108492" w:history="1">
            <w:r w:rsidRPr="00F736BC">
              <w:rPr>
                <w:rStyle w:val="Hyperlink"/>
                <w:noProof/>
              </w:rPr>
              <w:t>Infrastructure for ultrafast time- and space-resolved spectroscopy from THz to X-rays</w:t>
            </w:r>
            <w:r>
              <w:rPr>
                <w:noProof/>
                <w:webHidden/>
              </w:rPr>
              <w:tab/>
            </w:r>
            <w:r>
              <w:rPr>
                <w:noProof/>
                <w:webHidden/>
              </w:rPr>
              <w:fldChar w:fldCharType="begin"/>
            </w:r>
            <w:r>
              <w:rPr>
                <w:noProof/>
                <w:webHidden/>
              </w:rPr>
              <w:instrText xml:space="preserve"> PAGEREF _Toc421108492 \h </w:instrText>
            </w:r>
            <w:r>
              <w:rPr>
                <w:noProof/>
                <w:webHidden/>
              </w:rPr>
            </w:r>
            <w:r>
              <w:rPr>
                <w:noProof/>
                <w:webHidden/>
              </w:rPr>
              <w:fldChar w:fldCharType="separate"/>
            </w:r>
            <w:r>
              <w:rPr>
                <w:noProof/>
                <w:webHidden/>
              </w:rPr>
              <w:t>7</w:t>
            </w:r>
            <w:r>
              <w:rPr>
                <w:noProof/>
                <w:webHidden/>
              </w:rPr>
              <w:fldChar w:fldCharType="end"/>
            </w:r>
          </w:hyperlink>
        </w:p>
        <w:p w14:paraId="17C0EEE7" w14:textId="77777777" w:rsidR="00515001" w:rsidRDefault="00515001">
          <w:pPr>
            <w:pStyle w:val="TOC1"/>
            <w:tabs>
              <w:tab w:val="right" w:leader="dot" w:pos="9118"/>
            </w:tabs>
            <w:rPr>
              <w:rFonts w:eastAsiaTheme="minorEastAsia"/>
              <w:noProof/>
              <w:sz w:val="22"/>
              <w:szCs w:val="22"/>
              <w:lang w:eastAsia="sv-SE"/>
            </w:rPr>
          </w:pPr>
          <w:hyperlink w:anchor="_Toc421108493" w:history="1">
            <w:r w:rsidRPr="00F736BC">
              <w:rPr>
                <w:rStyle w:val="Hyperlink"/>
                <w:noProof/>
                <w:lang w:val="en-GB"/>
              </w:rPr>
              <w:t>Nationella infrastrukturer som bör komma med I Guiden, men som avser söka finansiering senare än 2017</w:t>
            </w:r>
            <w:r>
              <w:rPr>
                <w:noProof/>
                <w:webHidden/>
              </w:rPr>
              <w:tab/>
            </w:r>
            <w:r>
              <w:rPr>
                <w:noProof/>
                <w:webHidden/>
              </w:rPr>
              <w:fldChar w:fldCharType="begin"/>
            </w:r>
            <w:r>
              <w:rPr>
                <w:noProof/>
                <w:webHidden/>
              </w:rPr>
              <w:instrText xml:space="preserve"> PAGEREF _Toc421108493 \h </w:instrText>
            </w:r>
            <w:r>
              <w:rPr>
                <w:noProof/>
                <w:webHidden/>
              </w:rPr>
            </w:r>
            <w:r>
              <w:rPr>
                <w:noProof/>
                <w:webHidden/>
              </w:rPr>
              <w:fldChar w:fldCharType="separate"/>
            </w:r>
            <w:r>
              <w:rPr>
                <w:noProof/>
                <w:webHidden/>
              </w:rPr>
              <w:t>8</w:t>
            </w:r>
            <w:r>
              <w:rPr>
                <w:noProof/>
                <w:webHidden/>
              </w:rPr>
              <w:fldChar w:fldCharType="end"/>
            </w:r>
          </w:hyperlink>
        </w:p>
        <w:p w14:paraId="5F99C778" w14:textId="77777777" w:rsidR="00515001" w:rsidRDefault="00515001">
          <w:pPr>
            <w:pStyle w:val="TOC2"/>
            <w:tabs>
              <w:tab w:val="right" w:leader="dot" w:pos="9118"/>
            </w:tabs>
            <w:rPr>
              <w:rFonts w:eastAsiaTheme="minorEastAsia"/>
              <w:noProof/>
              <w:sz w:val="22"/>
              <w:szCs w:val="22"/>
              <w:lang w:eastAsia="sv-SE"/>
            </w:rPr>
          </w:pPr>
          <w:hyperlink w:anchor="_Toc421108494" w:history="1">
            <w:r w:rsidRPr="00F736BC">
              <w:rPr>
                <w:rStyle w:val="Hyperlink"/>
                <w:noProof/>
              </w:rPr>
              <w:t>PDC – Högprestandaberäkningar</w:t>
            </w:r>
            <w:r>
              <w:rPr>
                <w:noProof/>
                <w:webHidden/>
              </w:rPr>
              <w:tab/>
            </w:r>
            <w:r>
              <w:rPr>
                <w:noProof/>
                <w:webHidden/>
              </w:rPr>
              <w:fldChar w:fldCharType="begin"/>
            </w:r>
            <w:r>
              <w:rPr>
                <w:noProof/>
                <w:webHidden/>
              </w:rPr>
              <w:instrText xml:space="preserve"> PAGEREF _Toc421108494 \h </w:instrText>
            </w:r>
            <w:r>
              <w:rPr>
                <w:noProof/>
                <w:webHidden/>
              </w:rPr>
            </w:r>
            <w:r>
              <w:rPr>
                <w:noProof/>
                <w:webHidden/>
              </w:rPr>
              <w:fldChar w:fldCharType="separate"/>
            </w:r>
            <w:r>
              <w:rPr>
                <w:noProof/>
                <w:webHidden/>
              </w:rPr>
              <w:t>8</w:t>
            </w:r>
            <w:r>
              <w:rPr>
                <w:noProof/>
                <w:webHidden/>
              </w:rPr>
              <w:fldChar w:fldCharType="end"/>
            </w:r>
          </w:hyperlink>
        </w:p>
        <w:p w14:paraId="29861F3C" w14:textId="77777777" w:rsidR="00515001" w:rsidRDefault="00515001">
          <w:pPr>
            <w:pStyle w:val="TOC2"/>
            <w:tabs>
              <w:tab w:val="right" w:leader="dot" w:pos="9118"/>
            </w:tabs>
            <w:rPr>
              <w:rFonts w:eastAsiaTheme="minorEastAsia"/>
              <w:noProof/>
              <w:sz w:val="22"/>
              <w:szCs w:val="22"/>
              <w:lang w:eastAsia="sv-SE"/>
            </w:rPr>
          </w:pPr>
          <w:hyperlink w:anchor="_Toc421108495" w:history="1">
            <w:r w:rsidRPr="00F736BC">
              <w:rPr>
                <w:rStyle w:val="Hyperlink"/>
                <w:noProof/>
                <w:lang w:val="en-GB"/>
              </w:rPr>
              <w:t>Odqvist Labo</w:t>
            </w:r>
            <w:r w:rsidRPr="00F736BC">
              <w:rPr>
                <w:rStyle w:val="Hyperlink"/>
                <w:i/>
                <w:noProof/>
                <w:lang w:val="en-GB"/>
              </w:rPr>
              <w:t>r</w:t>
            </w:r>
            <w:r w:rsidRPr="00F736BC">
              <w:rPr>
                <w:rStyle w:val="Hyperlink"/>
                <w:noProof/>
                <w:lang w:val="en-GB"/>
              </w:rPr>
              <w:t>atory for Experimental Mechanics</w:t>
            </w:r>
            <w:r>
              <w:rPr>
                <w:noProof/>
                <w:webHidden/>
              </w:rPr>
              <w:tab/>
            </w:r>
            <w:r>
              <w:rPr>
                <w:noProof/>
                <w:webHidden/>
              </w:rPr>
              <w:fldChar w:fldCharType="begin"/>
            </w:r>
            <w:r>
              <w:rPr>
                <w:noProof/>
                <w:webHidden/>
              </w:rPr>
              <w:instrText xml:space="preserve"> PAGEREF _Toc421108495 \h </w:instrText>
            </w:r>
            <w:r>
              <w:rPr>
                <w:noProof/>
                <w:webHidden/>
              </w:rPr>
            </w:r>
            <w:r>
              <w:rPr>
                <w:noProof/>
                <w:webHidden/>
              </w:rPr>
              <w:fldChar w:fldCharType="separate"/>
            </w:r>
            <w:r>
              <w:rPr>
                <w:noProof/>
                <w:webHidden/>
              </w:rPr>
              <w:t>8</w:t>
            </w:r>
            <w:r>
              <w:rPr>
                <w:noProof/>
                <w:webHidden/>
              </w:rPr>
              <w:fldChar w:fldCharType="end"/>
            </w:r>
          </w:hyperlink>
        </w:p>
        <w:p w14:paraId="19691611" w14:textId="77777777" w:rsidR="00515001" w:rsidRDefault="00515001">
          <w:pPr>
            <w:pStyle w:val="TOC2"/>
            <w:tabs>
              <w:tab w:val="right" w:leader="dot" w:pos="9118"/>
            </w:tabs>
            <w:rPr>
              <w:rFonts w:eastAsiaTheme="minorEastAsia"/>
              <w:noProof/>
              <w:sz w:val="22"/>
              <w:szCs w:val="22"/>
              <w:lang w:eastAsia="sv-SE"/>
            </w:rPr>
          </w:pPr>
          <w:hyperlink w:anchor="_Toc421108496" w:history="1">
            <w:r w:rsidRPr="00F736BC">
              <w:rPr>
                <w:rStyle w:val="Hyperlink"/>
                <w:noProof/>
              </w:rPr>
              <w:t>SciLifeLab</w:t>
            </w:r>
            <w:r>
              <w:rPr>
                <w:noProof/>
                <w:webHidden/>
              </w:rPr>
              <w:tab/>
            </w:r>
            <w:r>
              <w:rPr>
                <w:noProof/>
                <w:webHidden/>
              </w:rPr>
              <w:fldChar w:fldCharType="begin"/>
            </w:r>
            <w:r>
              <w:rPr>
                <w:noProof/>
                <w:webHidden/>
              </w:rPr>
              <w:instrText xml:space="preserve"> PAGEREF _Toc421108496 \h </w:instrText>
            </w:r>
            <w:r>
              <w:rPr>
                <w:noProof/>
                <w:webHidden/>
              </w:rPr>
            </w:r>
            <w:r>
              <w:rPr>
                <w:noProof/>
                <w:webHidden/>
              </w:rPr>
              <w:fldChar w:fldCharType="separate"/>
            </w:r>
            <w:r>
              <w:rPr>
                <w:noProof/>
                <w:webHidden/>
              </w:rPr>
              <w:t>9</w:t>
            </w:r>
            <w:r>
              <w:rPr>
                <w:noProof/>
                <w:webHidden/>
              </w:rPr>
              <w:fldChar w:fldCharType="end"/>
            </w:r>
          </w:hyperlink>
        </w:p>
        <w:p w14:paraId="6F8058C6" w14:textId="77777777" w:rsidR="00515001" w:rsidRDefault="00515001">
          <w:pPr>
            <w:pStyle w:val="TOC2"/>
            <w:tabs>
              <w:tab w:val="right" w:leader="dot" w:pos="9118"/>
            </w:tabs>
            <w:rPr>
              <w:rFonts w:eastAsiaTheme="minorEastAsia"/>
              <w:noProof/>
              <w:sz w:val="22"/>
              <w:szCs w:val="22"/>
              <w:lang w:eastAsia="sv-SE"/>
            </w:rPr>
          </w:pPr>
          <w:hyperlink w:anchor="_Toc421108497" w:history="1">
            <w:r w:rsidRPr="00F736BC">
              <w:rPr>
                <w:rStyle w:val="Hyperlink"/>
                <w:noProof/>
                <w:lang w:val="en-GB"/>
              </w:rPr>
              <w:t>Sjöstadsverket</w:t>
            </w:r>
            <w:r>
              <w:rPr>
                <w:noProof/>
                <w:webHidden/>
              </w:rPr>
              <w:tab/>
            </w:r>
            <w:r>
              <w:rPr>
                <w:noProof/>
                <w:webHidden/>
              </w:rPr>
              <w:fldChar w:fldCharType="begin"/>
            </w:r>
            <w:r>
              <w:rPr>
                <w:noProof/>
                <w:webHidden/>
              </w:rPr>
              <w:instrText xml:space="preserve"> PAGEREF _Toc421108497 \h </w:instrText>
            </w:r>
            <w:r>
              <w:rPr>
                <w:noProof/>
                <w:webHidden/>
              </w:rPr>
            </w:r>
            <w:r>
              <w:rPr>
                <w:noProof/>
                <w:webHidden/>
              </w:rPr>
              <w:fldChar w:fldCharType="separate"/>
            </w:r>
            <w:r>
              <w:rPr>
                <w:noProof/>
                <w:webHidden/>
              </w:rPr>
              <w:t>9</w:t>
            </w:r>
            <w:r>
              <w:rPr>
                <w:noProof/>
                <w:webHidden/>
              </w:rPr>
              <w:fldChar w:fldCharType="end"/>
            </w:r>
          </w:hyperlink>
        </w:p>
        <w:p w14:paraId="29DA9287" w14:textId="77777777" w:rsidR="00515001" w:rsidRDefault="00515001">
          <w:pPr>
            <w:pStyle w:val="TOC2"/>
            <w:tabs>
              <w:tab w:val="right" w:leader="dot" w:pos="9118"/>
            </w:tabs>
            <w:rPr>
              <w:rFonts w:eastAsiaTheme="minorEastAsia"/>
              <w:noProof/>
              <w:sz w:val="22"/>
              <w:szCs w:val="22"/>
              <w:lang w:eastAsia="sv-SE"/>
            </w:rPr>
          </w:pPr>
          <w:hyperlink w:anchor="_Toc421108498" w:history="1">
            <w:r w:rsidRPr="00F736BC">
              <w:rPr>
                <w:rStyle w:val="Hyperlink"/>
                <w:noProof/>
                <w:lang w:val="en-US"/>
              </w:rPr>
              <w:t xml:space="preserve">TEM – </w:t>
            </w:r>
            <w:r w:rsidRPr="00F736BC">
              <w:rPr>
                <w:rStyle w:val="Hyperlink"/>
                <w:noProof/>
              </w:rPr>
              <w:t>Infrastructure</w:t>
            </w:r>
            <w:r w:rsidRPr="00F736BC">
              <w:rPr>
                <w:rStyle w:val="Hyperlink"/>
                <w:noProof/>
                <w:lang w:val="en-US"/>
              </w:rPr>
              <w:t xml:space="preserve"> for Ultrafast Material Characterization</w:t>
            </w:r>
            <w:r>
              <w:rPr>
                <w:noProof/>
                <w:webHidden/>
              </w:rPr>
              <w:tab/>
            </w:r>
            <w:r>
              <w:rPr>
                <w:noProof/>
                <w:webHidden/>
              </w:rPr>
              <w:fldChar w:fldCharType="begin"/>
            </w:r>
            <w:r>
              <w:rPr>
                <w:noProof/>
                <w:webHidden/>
              </w:rPr>
              <w:instrText xml:space="preserve"> PAGEREF _Toc421108498 \h </w:instrText>
            </w:r>
            <w:r>
              <w:rPr>
                <w:noProof/>
                <w:webHidden/>
              </w:rPr>
            </w:r>
            <w:r>
              <w:rPr>
                <w:noProof/>
                <w:webHidden/>
              </w:rPr>
              <w:fldChar w:fldCharType="separate"/>
            </w:r>
            <w:r>
              <w:rPr>
                <w:noProof/>
                <w:webHidden/>
              </w:rPr>
              <w:t>10</w:t>
            </w:r>
            <w:r>
              <w:rPr>
                <w:noProof/>
                <w:webHidden/>
              </w:rPr>
              <w:fldChar w:fldCharType="end"/>
            </w:r>
          </w:hyperlink>
        </w:p>
        <w:p w14:paraId="4133FC6A" w14:textId="77777777" w:rsidR="00515001" w:rsidRDefault="00515001">
          <w:pPr>
            <w:pStyle w:val="TOC2"/>
            <w:tabs>
              <w:tab w:val="right" w:leader="dot" w:pos="9118"/>
            </w:tabs>
            <w:rPr>
              <w:rFonts w:eastAsiaTheme="minorEastAsia"/>
              <w:noProof/>
              <w:sz w:val="22"/>
              <w:szCs w:val="22"/>
              <w:lang w:eastAsia="sv-SE"/>
            </w:rPr>
          </w:pPr>
          <w:hyperlink w:anchor="_Toc421108499" w:history="1">
            <w:r w:rsidRPr="00F736BC">
              <w:rPr>
                <w:rStyle w:val="Hyperlink"/>
                <w:noProof/>
              </w:rPr>
              <w:t>Det svenska strålröret vid PETRAIII</w:t>
            </w:r>
            <w:r>
              <w:rPr>
                <w:noProof/>
                <w:webHidden/>
              </w:rPr>
              <w:tab/>
            </w:r>
            <w:r>
              <w:rPr>
                <w:noProof/>
                <w:webHidden/>
              </w:rPr>
              <w:fldChar w:fldCharType="begin"/>
            </w:r>
            <w:r>
              <w:rPr>
                <w:noProof/>
                <w:webHidden/>
              </w:rPr>
              <w:instrText xml:space="preserve"> PAGEREF _Toc421108499 \h </w:instrText>
            </w:r>
            <w:r>
              <w:rPr>
                <w:noProof/>
                <w:webHidden/>
              </w:rPr>
            </w:r>
            <w:r>
              <w:rPr>
                <w:noProof/>
                <w:webHidden/>
              </w:rPr>
              <w:fldChar w:fldCharType="separate"/>
            </w:r>
            <w:r>
              <w:rPr>
                <w:noProof/>
                <w:webHidden/>
              </w:rPr>
              <w:t>10</w:t>
            </w:r>
            <w:r>
              <w:rPr>
                <w:noProof/>
                <w:webHidden/>
              </w:rPr>
              <w:fldChar w:fldCharType="end"/>
            </w:r>
          </w:hyperlink>
        </w:p>
        <w:p w14:paraId="02675144" w14:textId="77777777" w:rsidR="00515001" w:rsidRDefault="00515001">
          <w:pPr>
            <w:pStyle w:val="TOC1"/>
            <w:tabs>
              <w:tab w:val="right" w:leader="dot" w:pos="9118"/>
            </w:tabs>
            <w:rPr>
              <w:rFonts w:eastAsiaTheme="minorEastAsia"/>
              <w:noProof/>
              <w:sz w:val="22"/>
              <w:szCs w:val="22"/>
              <w:lang w:eastAsia="sv-SE"/>
            </w:rPr>
          </w:pPr>
          <w:hyperlink w:anchor="_Toc421108500" w:history="1">
            <w:r w:rsidRPr="00F736BC">
              <w:rPr>
                <w:rStyle w:val="Hyperlink"/>
                <w:noProof/>
                <w:lang w:val="en-GB"/>
              </w:rPr>
              <w:t xml:space="preserve">Förslag på nationella </w:t>
            </w:r>
            <w:r w:rsidRPr="00F736BC">
              <w:rPr>
                <w:rStyle w:val="Hyperlink"/>
                <w:noProof/>
              </w:rPr>
              <w:t>infrastrukturer</w:t>
            </w:r>
            <w:r w:rsidRPr="00F736BC">
              <w:rPr>
                <w:rStyle w:val="Hyperlink"/>
                <w:noProof/>
                <w:lang w:val="en-GB"/>
              </w:rPr>
              <w:t xml:space="preserve"> med annan huvudman, där KTH ingår i konsortiet</w:t>
            </w:r>
            <w:r>
              <w:rPr>
                <w:noProof/>
                <w:webHidden/>
              </w:rPr>
              <w:tab/>
            </w:r>
            <w:r>
              <w:rPr>
                <w:noProof/>
                <w:webHidden/>
              </w:rPr>
              <w:fldChar w:fldCharType="begin"/>
            </w:r>
            <w:r>
              <w:rPr>
                <w:noProof/>
                <w:webHidden/>
              </w:rPr>
              <w:instrText xml:space="preserve"> PAGEREF _Toc421108500 \h </w:instrText>
            </w:r>
            <w:r>
              <w:rPr>
                <w:noProof/>
                <w:webHidden/>
              </w:rPr>
            </w:r>
            <w:r>
              <w:rPr>
                <w:noProof/>
                <w:webHidden/>
              </w:rPr>
              <w:fldChar w:fldCharType="separate"/>
            </w:r>
            <w:r>
              <w:rPr>
                <w:noProof/>
                <w:webHidden/>
              </w:rPr>
              <w:t>10</w:t>
            </w:r>
            <w:r>
              <w:rPr>
                <w:noProof/>
                <w:webHidden/>
              </w:rPr>
              <w:fldChar w:fldCharType="end"/>
            </w:r>
          </w:hyperlink>
        </w:p>
        <w:p w14:paraId="50A5609D" w14:textId="77777777" w:rsidR="00515001" w:rsidRDefault="00515001">
          <w:pPr>
            <w:pStyle w:val="TOC2"/>
            <w:tabs>
              <w:tab w:val="right" w:leader="dot" w:pos="9118"/>
            </w:tabs>
            <w:rPr>
              <w:rFonts w:eastAsiaTheme="minorEastAsia"/>
              <w:noProof/>
              <w:sz w:val="22"/>
              <w:szCs w:val="22"/>
              <w:lang w:eastAsia="sv-SE"/>
            </w:rPr>
          </w:pPr>
          <w:hyperlink w:anchor="_Toc421108501" w:history="1">
            <w:r w:rsidRPr="00F736BC">
              <w:rPr>
                <w:rStyle w:val="Hyperlink"/>
                <w:noProof/>
              </w:rPr>
              <w:t>THz/X-ray pump-probe facility</w:t>
            </w:r>
            <w:r>
              <w:rPr>
                <w:noProof/>
                <w:webHidden/>
              </w:rPr>
              <w:tab/>
            </w:r>
            <w:r>
              <w:rPr>
                <w:noProof/>
                <w:webHidden/>
              </w:rPr>
              <w:fldChar w:fldCharType="begin"/>
            </w:r>
            <w:r>
              <w:rPr>
                <w:noProof/>
                <w:webHidden/>
              </w:rPr>
              <w:instrText xml:space="preserve"> PAGEREF _Toc421108501 \h </w:instrText>
            </w:r>
            <w:r>
              <w:rPr>
                <w:noProof/>
                <w:webHidden/>
              </w:rPr>
            </w:r>
            <w:r>
              <w:rPr>
                <w:noProof/>
                <w:webHidden/>
              </w:rPr>
              <w:fldChar w:fldCharType="separate"/>
            </w:r>
            <w:r>
              <w:rPr>
                <w:noProof/>
                <w:webHidden/>
              </w:rPr>
              <w:t>10</w:t>
            </w:r>
            <w:r>
              <w:rPr>
                <w:noProof/>
                <w:webHidden/>
              </w:rPr>
              <w:fldChar w:fldCharType="end"/>
            </w:r>
          </w:hyperlink>
        </w:p>
        <w:p w14:paraId="737848BE" w14:textId="77777777" w:rsidR="00515001" w:rsidRDefault="00515001">
          <w:pPr>
            <w:pStyle w:val="TOC2"/>
            <w:tabs>
              <w:tab w:val="right" w:leader="dot" w:pos="9118"/>
            </w:tabs>
            <w:rPr>
              <w:rFonts w:eastAsiaTheme="minorEastAsia"/>
              <w:noProof/>
              <w:sz w:val="22"/>
              <w:szCs w:val="22"/>
              <w:lang w:eastAsia="sv-SE"/>
            </w:rPr>
          </w:pPr>
          <w:hyperlink w:anchor="_Toc421108502" w:history="1">
            <w:r w:rsidRPr="00F736BC">
              <w:rPr>
                <w:rStyle w:val="Hyperlink"/>
                <w:noProof/>
              </w:rPr>
              <w:t>Laserlab – en distribuerad nationell forskningsinfrastruktur</w:t>
            </w:r>
            <w:r>
              <w:rPr>
                <w:noProof/>
                <w:webHidden/>
              </w:rPr>
              <w:tab/>
            </w:r>
            <w:r>
              <w:rPr>
                <w:noProof/>
                <w:webHidden/>
              </w:rPr>
              <w:fldChar w:fldCharType="begin"/>
            </w:r>
            <w:r>
              <w:rPr>
                <w:noProof/>
                <w:webHidden/>
              </w:rPr>
              <w:instrText xml:space="preserve"> PAGEREF _Toc421108502 \h </w:instrText>
            </w:r>
            <w:r>
              <w:rPr>
                <w:noProof/>
                <w:webHidden/>
              </w:rPr>
            </w:r>
            <w:r>
              <w:rPr>
                <w:noProof/>
                <w:webHidden/>
              </w:rPr>
              <w:fldChar w:fldCharType="separate"/>
            </w:r>
            <w:r>
              <w:rPr>
                <w:noProof/>
                <w:webHidden/>
              </w:rPr>
              <w:t>11</w:t>
            </w:r>
            <w:r>
              <w:rPr>
                <w:noProof/>
                <w:webHidden/>
              </w:rPr>
              <w:fldChar w:fldCharType="end"/>
            </w:r>
          </w:hyperlink>
        </w:p>
        <w:p w14:paraId="688B8C78" w14:textId="77777777" w:rsidR="00515001" w:rsidRDefault="00515001">
          <w:pPr>
            <w:pStyle w:val="TOC2"/>
            <w:tabs>
              <w:tab w:val="right" w:leader="dot" w:pos="9118"/>
            </w:tabs>
            <w:rPr>
              <w:rFonts w:eastAsiaTheme="minorEastAsia"/>
              <w:noProof/>
              <w:sz w:val="22"/>
              <w:szCs w:val="22"/>
              <w:lang w:eastAsia="sv-SE"/>
            </w:rPr>
          </w:pPr>
          <w:hyperlink w:anchor="_Toc421108503" w:history="1">
            <w:r w:rsidRPr="00F736BC">
              <w:rPr>
                <w:rStyle w:val="Hyperlink"/>
                <w:noProof/>
              </w:rPr>
              <w:t>NMR for materials</w:t>
            </w:r>
            <w:r>
              <w:rPr>
                <w:noProof/>
                <w:webHidden/>
              </w:rPr>
              <w:tab/>
            </w:r>
            <w:r>
              <w:rPr>
                <w:noProof/>
                <w:webHidden/>
              </w:rPr>
              <w:fldChar w:fldCharType="begin"/>
            </w:r>
            <w:r>
              <w:rPr>
                <w:noProof/>
                <w:webHidden/>
              </w:rPr>
              <w:instrText xml:space="preserve"> PAGEREF _Toc421108503 \h </w:instrText>
            </w:r>
            <w:r>
              <w:rPr>
                <w:noProof/>
                <w:webHidden/>
              </w:rPr>
            </w:r>
            <w:r>
              <w:rPr>
                <w:noProof/>
                <w:webHidden/>
              </w:rPr>
              <w:fldChar w:fldCharType="separate"/>
            </w:r>
            <w:r>
              <w:rPr>
                <w:noProof/>
                <w:webHidden/>
              </w:rPr>
              <w:t>11</w:t>
            </w:r>
            <w:r>
              <w:rPr>
                <w:noProof/>
                <w:webHidden/>
              </w:rPr>
              <w:fldChar w:fldCharType="end"/>
            </w:r>
          </w:hyperlink>
        </w:p>
        <w:p w14:paraId="4C98C3B7" w14:textId="77777777" w:rsidR="00515001" w:rsidRDefault="00515001">
          <w:pPr>
            <w:pStyle w:val="TOC2"/>
            <w:tabs>
              <w:tab w:val="right" w:leader="dot" w:pos="9118"/>
            </w:tabs>
            <w:rPr>
              <w:rFonts w:eastAsiaTheme="minorEastAsia"/>
              <w:noProof/>
              <w:sz w:val="22"/>
              <w:szCs w:val="22"/>
              <w:lang w:eastAsia="sv-SE"/>
            </w:rPr>
          </w:pPr>
          <w:hyperlink w:anchor="_Toc421108504" w:history="1">
            <w:r w:rsidRPr="00F736BC">
              <w:rPr>
                <w:rStyle w:val="Hyperlink"/>
                <w:noProof/>
              </w:rPr>
              <w:t>Nationella Geosfärslaboratoriet (NGL)</w:t>
            </w:r>
            <w:r>
              <w:rPr>
                <w:noProof/>
                <w:webHidden/>
              </w:rPr>
              <w:tab/>
            </w:r>
            <w:r>
              <w:rPr>
                <w:noProof/>
                <w:webHidden/>
              </w:rPr>
              <w:fldChar w:fldCharType="begin"/>
            </w:r>
            <w:r>
              <w:rPr>
                <w:noProof/>
                <w:webHidden/>
              </w:rPr>
              <w:instrText xml:space="preserve"> PAGEREF _Toc421108504 \h </w:instrText>
            </w:r>
            <w:r>
              <w:rPr>
                <w:noProof/>
                <w:webHidden/>
              </w:rPr>
            </w:r>
            <w:r>
              <w:rPr>
                <w:noProof/>
                <w:webHidden/>
              </w:rPr>
              <w:fldChar w:fldCharType="separate"/>
            </w:r>
            <w:r>
              <w:rPr>
                <w:noProof/>
                <w:webHidden/>
              </w:rPr>
              <w:t>12</w:t>
            </w:r>
            <w:r>
              <w:rPr>
                <w:noProof/>
                <w:webHidden/>
              </w:rPr>
              <w:fldChar w:fldCharType="end"/>
            </w:r>
          </w:hyperlink>
        </w:p>
        <w:p w14:paraId="598D09D1" w14:textId="77777777" w:rsidR="0036126D" w:rsidRDefault="0036126D" w:rsidP="00B30929">
          <w:pPr>
            <w:ind w:right="623"/>
            <w:rPr>
              <w:bCs/>
            </w:rPr>
          </w:pPr>
          <w:r>
            <w:rPr>
              <w:b/>
              <w:bCs/>
            </w:rPr>
            <w:fldChar w:fldCharType="end"/>
          </w:r>
        </w:p>
      </w:sdtContent>
    </w:sdt>
    <w:p w14:paraId="12BE799C" w14:textId="77777777" w:rsidR="0036126D" w:rsidRDefault="0036126D" w:rsidP="00B30929">
      <w:pPr>
        <w:pStyle w:val="BodyText"/>
        <w:ind w:right="623"/>
      </w:pPr>
    </w:p>
    <w:p w14:paraId="304C119E" w14:textId="77777777" w:rsidR="0036126D" w:rsidRDefault="0036126D" w:rsidP="00B30929">
      <w:pPr>
        <w:ind w:right="623"/>
      </w:pPr>
      <w:r>
        <w:br w:type="page"/>
      </w:r>
      <w:bookmarkStart w:id="1" w:name="_GoBack"/>
      <w:bookmarkEnd w:id="1"/>
    </w:p>
    <w:p w14:paraId="22B7875B" w14:textId="77777777" w:rsidR="0033334B" w:rsidRPr="005F0E17" w:rsidRDefault="0033334B" w:rsidP="00B30929">
      <w:pPr>
        <w:pStyle w:val="Heading1"/>
        <w:ind w:right="623"/>
        <w:rPr>
          <w:sz w:val="28"/>
        </w:rPr>
      </w:pPr>
      <w:bookmarkStart w:id="2" w:name="_Toc421108486"/>
      <w:r w:rsidRPr="005F0E17">
        <w:rPr>
          <w:sz w:val="28"/>
        </w:rPr>
        <w:lastRenderedPageBreak/>
        <w:t>Förslag på nationella infrastrukturer</w:t>
      </w:r>
      <w:bookmarkEnd w:id="2"/>
    </w:p>
    <w:p w14:paraId="753013D5" w14:textId="77777777" w:rsidR="00574F37" w:rsidRDefault="00574F37" w:rsidP="00B30929">
      <w:pPr>
        <w:pStyle w:val="Heading2"/>
        <w:ind w:right="623"/>
      </w:pPr>
    </w:p>
    <w:p w14:paraId="75D08067" w14:textId="77777777" w:rsidR="0033334B" w:rsidRDefault="0033334B" w:rsidP="00B30929">
      <w:pPr>
        <w:pStyle w:val="Heading2"/>
        <w:ind w:right="623"/>
      </w:pPr>
      <w:bookmarkStart w:id="3" w:name="_Toc421108487"/>
      <w:r>
        <w:t>Robotar &amp; autonoma system</w:t>
      </w:r>
      <w:bookmarkEnd w:id="3"/>
    </w:p>
    <w:p w14:paraId="5ADAE128" w14:textId="77777777" w:rsidR="0033334B" w:rsidRDefault="0033334B" w:rsidP="00B30929">
      <w:pPr>
        <w:pStyle w:val="BodyText"/>
        <w:ind w:right="623"/>
        <w:contextualSpacing/>
      </w:pPr>
      <w:r>
        <w:t>Ett initiativ till en nationell infrastruktur för utvecklingen av nästa generation av robotar</w:t>
      </w:r>
    </w:p>
    <w:p w14:paraId="19FCB18C" w14:textId="77777777" w:rsidR="0033334B" w:rsidRDefault="0033334B" w:rsidP="00B30929">
      <w:pPr>
        <w:pStyle w:val="BodyText"/>
        <w:ind w:right="623"/>
        <w:contextualSpacing/>
      </w:pPr>
      <w:r>
        <w:t xml:space="preserve">(autonoma system) har tagits </w:t>
      </w:r>
      <w:r w:rsidR="008E1377">
        <w:t xml:space="preserve">fram </w:t>
      </w:r>
      <w:r>
        <w:t>av avdelningen för Datorseende och robotik (CVAP) vid CSC</w:t>
      </w:r>
    </w:p>
    <w:p w14:paraId="0E33FE8F" w14:textId="77777777" w:rsidR="00D569C6" w:rsidRDefault="0033334B" w:rsidP="00B30929">
      <w:pPr>
        <w:pStyle w:val="BodyText"/>
        <w:ind w:right="623"/>
        <w:contextualSpacing/>
      </w:pPr>
      <w:r>
        <w:t xml:space="preserve">tillsammans med Chalmers och Uppsala universitet. </w:t>
      </w:r>
    </w:p>
    <w:p w14:paraId="7BB97E5A" w14:textId="77777777" w:rsidR="00D569C6" w:rsidRDefault="00D569C6" w:rsidP="00B30929">
      <w:pPr>
        <w:pStyle w:val="BodyText"/>
        <w:ind w:right="623"/>
        <w:contextualSpacing/>
      </w:pPr>
    </w:p>
    <w:p w14:paraId="16312AB3" w14:textId="77777777" w:rsidR="0033334B" w:rsidRDefault="0033334B" w:rsidP="00B30929">
      <w:pPr>
        <w:pStyle w:val="BodyText"/>
        <w:ind w:right="623"/>
        <w:contextualSpacing/>
      </w:pPr>
      <w:r>
        <w:t>Syftet är att bygga upp en experimentell</w:t>
      </w:r>
      <w:r w:rsidR="00D569C6">
        <w:t xml:space="preserve"> </w:t>
      </w:r>
      <w:r>
        <w:t>infrastruktur för att kunna angripa grundläggande forskningsfrågor som rör samverkan mellan</w:t>
      </w:r>
      <w:r w:rsidR="00D569C6">
        <w:t xml:space="preserve"> </w:t>
      </w:r>
      <w:r>
        <w:t>autonoma system och människor. Målet är att göra det möjligt för människor och robotar att</w:t>
      </w:r>
      <w:r w:rsidR="00D569C6">
        <w:t xml:space="preserve"> </w:t>
      </w:r>
      <w:r>
        <w:t>samarbeta naturligt och på människans villkor. Det gäller dels frågor om hur robotar kan lösa</w:t>
      </w:r>
      <w:r w:rsidR="00D569C6">
        <w:t xml:space="preserve"> </w:t>
      </w:r>
      <w:r>
        <w:t>uppgifter på egen hand genom att lära beteenden och självständigt resonera sig fram till</w:t>
      </w:r>
      <w:r w:rsidR="00D569C6">
        <w:t xml:space="preserve"> </w:t>
      </w:r>
      <w:r>
        <w:t>lösningar när omgivning och förutsättningar ändras. Det andra problemområdet är hur robotar</w:t>
      </w:r>
      <w:r w:rsidR="00D569C6">
        <w:t xml:space="preserve"> </w:t>
      </w:r>
      <w:r>
        <w:t>ska kunna få förståelse för människans behov och intentioner och bli medvetna och anpassa</w:t>
      </w:r>
      <w:r w:rsidR="00D569C6">
        <w:t xml:space="preserve"> </w:t>
      </w:r>
      <w:r>
        <w:t>sig i samarbetssituationer (rumsligt, handlingar, socialt).</w:t>
      </w:r>
    </w:p>
    <w:p w14:paraId="773FCCFF" w14:textId="77777777" w:rsidR="00D569C6" w:rsidRDefault="00D569C6" w:rsidP="00B30929">
      <w:pPr>
        <w:pStyle w:val="BodyText"/>
        <w:ind w:right="623"/>
        <w:contextualSpacing/>
      </w:pPr>
    </w:p>
    <w:p w14:paraId="65A846C6" w14:textId="7EEFD6A3" w:rsidR="0033334B" w:rsidRDefault="0033334B" w:rsidP="00B30929">
      <w:pPr>
        <w:pStyle w:val="BodyText"/>
        <w:ind w:right="623"/>
        <w:contextualSpacing/>
      </w:pPr>
      <w:r>
        <w:t>All sådan forskning behöver en experimentell miljö där system kan utvärderas under</w:t>
      </w:r>
      <w:r w:rsidR="00D569C6">
        <w:t xml:space="preserve"> </w:t>
      </w:r>
      <w:r>
        <w:t>realistiska former och med icke-experter som användare. Behovet är stort och akut. Utan</w:t>
      </w:r>
      <w:r w:rsidR="00D569C6">
        <w:t xml:space="preserve"> </w:t>
      </w:r>
      <w:r>
        <w:t>tillgång till en sådan nationell infrastruktur bromsas forskningen inom robotik och autonoma</w:t>
      </w:r>
      <w:r w:rsidR="00D569C6">
        <w:t xml:space="preserve"> </w:t>
      </w:r>
      <w:r>
        <w:t>system i landet. I förlängningen medför detta att Sverige inte kommer att kunna fortsätta</w:t>
      </w:r>
      <w:r w:rsidR="00D569C6">
        <w:t xml:space="preserve"> </w:t>
      </w:r>
      <w:r>
        <w:t>att hålla sig i den internationell</w:t>
      </w:r>
      <w:r w:rsidR="003E64D2">
        <w:t>a</w:t>
      </w:r>
      <w:r>
        <w:t xml:space="preserve"> frontlinjen inom detta strategiska område.</w:t>
      </w:r>
      <w:r w:rsidR="00D569C6">
        <w:t xml:space="preserve"> </w:t>
      </w:r>
      <w:r>
        <w:t xml:space="preserve">En nationell infrastruktur för robotar och autonoma system kräver ett antal </w:t>
      </w:r>
      <w:proofErr w:type="spellStart"/>
      <w:r>
        <w:t>humanoida</w:t>
      </w:r>
      <w:proofErr w:type="spellEnd"/>
      <w:r w:rsidR="00D569C6">
        <w:t xml:space="preserve"> </w:t>
      </w:r>
      <w:r>
        <w:t>plattformar och hjuldrivna robotar med armar och huvud som kan agera i laboratorier som</w:t>
      </w:r>
    </w:p>
    <w:p w14:paraId="03B008C1" w14:textId="77777777" w:rsidR="008E1377" w:rsidRDefault="0033334B" w:rsidP="00B30929">
      <w:pPr>
        <w:pStyle w:val="BodyText"/>
        <w:ind w:right="623"/>
        <w:contextualSpacing/>
      </w:pPr>
      <w:r>
        <w:t xml:space="preserve">efterliknar realistiska miljöer (skola, kontor, industri). </w:t>
      </w:r>
    </w:p>
    <w:p w14:paraId="134C7A08" w14:textId="77777777" w:rsidR="008E1377" w:rsidRDefault="008E1377" w:rsidP="00B30929">
      <w:pPr>
        <w:pStyle w:val="BodyText"/>
        <w:ind w:right="623"/>
        <w:contextualSpacing/>
      </w:pPr>
    </w:p>
    <w:p w14:paraId="77F234EF" w14:textId="77777777" w:rsidR="00AF7770" w:rsidRDefault="008E1377" w:rsidP="00B30929">
      <w:pPr>
        <w:pStyle w:val="BodyText"/>
        <w:ind w:right="623"/>
        <w:contextualSpacing/>
      </w:pPr>
      <w:r>
        <w:t>Investeringen uppskattas till ca 100 Mkr och kostnaden för årlig drift 5 Mkr.</w:t>
      </w:r>
    </w:p>
    <w:p w14:paraId="21E59F39" w14:textId="77777777" w:rsidR="00F11225" w:rsidRDefault="00F11225" w:rsidP="00B30929">
      <w:pPr>
        <w:pStyle w:val="BodyText"/>
        <w:ind w:right="623"/>
        <w:contextualSpacing/>
      </w:pPr>
    </w:p>
    <w:p w14:paraId="63047C2F" w14:textId="7D06491F" w:rsidR="00545699" w:rsidRPr="00574F37" w:rsidRDefault="0033334B" w:rsidP="00B30929">
      <w:pPr>
        <w:pStyle w:val="BodyText"/>
        <w:ind w:right="623"/>
        <w:contextualSpacing/>
        <w:rPr>
          <w:rFonts w:asciiTheme="majorHAnsi" w:eastAsiaTheme="majorEastAsia" w:hAnsiTheme="majorHAnsi" w:cstheme="majorBidi"/>
          <w:bCs/>
          <w:sz w:val="22"/>
        </w:rPr>
      </w:pPr>
      <w:r>
        <w:t xml:space="preserve">Kontakt: </w:t>
      </w:r>
      <w:r w:rsidR="0002025B">
        <w:t xml:space="preserve">Danica Kragic, </w:t>
      </w:r>
      <w:hyperlink r:id="rId9" w:history="1">
        <w:r w:rsidR="00FD5351" w:rsidRPr="0006640A">
          <w:rPr>
            <w:rStyle w:val="Hyperlink"/>
          </w:rPr>
          <w:t>danik@csc.kth.se</w:t>
        </w:r>
      </w:hyperlink>
    </w:p>
    <w:p w14:paraId="6D29F0C3" w14:textId="77777777" w:rsidR="00574F37" w:rsidRDefault="00574F37" w:rsidP="00B30929">
      <w:pPr>
        <w:pStyle w:val="Heading2"/>
        <w:ind w:right="623"/>
      </w:pPr>
    </w:p>
    <w:p w14:paraId="3E1D11BC" w14:textId="77777777" w:rsidR="00545699" w:rsidRDefault="00545699" w:rsidP="00B30929">
      <w:pPr>
        <w:pStyle w:val="Heading2"/>
        <w:ind w:right="623"/>
      </w:pPr>
      <w:bookmarkStart w:id="4" w:name="_Toc421108488"/>
      <w:r w:rsidRPr="00545699">
        <w:t>Nodes-4-Visualization</w:t>
      </w:r>
      <w:bookmarkEnd w:id="4"/>
      <w:r w:rsidRPr="00545699">
        <w:t xml:space="preserve"> </w:t>
      </w:r>
    </w:p>
    <w:p w14:paraId="7C3E257F" w14:textId="77777777" w:rsidR="0033334B" w:rsidRDefault="0033334B" w:rsidP="00B30929">
      <w:pPr>
        <w:pStyle w:val="BodyText"/>
        <w:ind w:right="623"/>
        <w:contextualSpacing/>
      </w:pPr>
      <w:r>
        <w:t xml:space="preserve">KTHs </w:t>
      </w:r>
      <w:r w:rsidRPr="00F028B8">
        <w:t xml:space="preserve">Visualiseringsstudio – VIC </w:t>
      </w:r>
      <w:r>
        <w:t>har allt sedan sin tillkomst 2008 haft en central roll</w:t>
      </w:r>
    </w:p>
    <w:p w14:paraId="77316EEC" w14:textId="77777777" w:rsidR="0033334B" w:rsidRDefault="0033334B" w:rsidP="00B30929">
      <w:pPr>
        <w:pStyle w:val="BodyText"/>
        <w:ind w:right="623"/>
        <w:contextualSpacing/>
      </w:pPr>
      <w:r>
        <w:t>som teknikplattform och mötesplats inom visualisering, interaktiv grafik och</w:t>
      </w:r>
    </w:p>
    <w:p w14:paraId="3E794241" w14:textId="77777777" w:rsidR="0033334B" w:rsidRDefault="0033334B" w:rsidP="00B30929">
      <w:pPr>
        <w:pStyle w:val="BodyText"/>
        <w:ind w:right="623"/>
        <w:contextualSpacing/>
      </w:pPr>
      <w:r>
        <w:t>interaktionsteknik, både lokalt för forskare och studenter vid KTH och regionalt för företag</w:t>
      </w:r>
    </w:p>
    <w:p w14:paraId="4CEF8E74" w14:textId="77777777" w:rsidR="0033334B" w:rsidRDefault="0033334B" w:rsidP="00B30929">
      <w:pPr>
        <w:pStyle w:val="BodyText"/>
        <w:ind w:right="623"/>
        <w:contextualSpacing/>
      </w:pPr>
      <w:r>
        <w:t>inom Stockholmsregionen. VICs roll har till stor del byggt på den avancerade tekniska</w:t>
      </w:r>
    </w:p>
    <w:p w14:paraId="1D38E5FD" w14:textId="77777777" w:rsidR="0033334B" w:rsidRDefault="0033334B" w:rsidP="00B30929">
      <w:pPr>
        <w:pStyle w:val="BodyText"/>
        <w:ind w:right="623"/>
        <w:contextualSpacing/>
      </w:pPr>
      <w:r>
        <w:t xml:space="preserve">infrastrukturen. </w:t>
      </w:r>
    </w:p>
    <w:p w14:paraId="2ADBD954" w14:textId="77777777" w:rsidR="008E1377" w:rsidRDefault="008E1377" w:rsidP="00B30929">
      <w:pPr>
        <w:pStyle w:val="BodyText"/>
        <w:ind w:right="623"/>
        <w:contextualSpacing/>
      </w:pPr>
    </w:p>
    <w:p w14:paraId="4F2D2AC1" w14:textId="77777777" w:rsidR="0033334B" w:rsidRDefault="0033334B" w:rsidP="00B30929">
      <w:pPr>
        <w:pStyle w:val="BodyText"/>
        <w:ind w:right="623"/>
        <w:contextualSpacing/>
      </w:pPr>
      <w:r>
        <w:t>VIC är nu inne i en process för att tillsammans med tre andra partners bilda ett nationellt</w:t>
      </w:r>
    </w:p>
    <w:p w14:paraId="12CE13A5" w14:textId="77777777" w:rsidR="0033334B" w:rsidRPr="008E1377" w:rsidRDefault="0033334B" w:rsidP="00B30929">
      <w:pPr>
        <w:pStyle w:val="BodyText"/>
        <w:ind w:right="623"/>
        <w:contextualSpacing/>
      </w:pPr>
      <w:r>
        <w:t>konsortium för visualisering (</w:t>
      </w:r>
      <w:r w:rsidRPr="00F028B8">
        <w:t>Nodes-4-Visualization</w:t>
      </w:r>
      <w:r>
        <w:t xml:space="preserve">). </w:t>
      </w:r>
      <w:r w:rsidRPr="008E1377">
        <w:t>Konsortiet har erhållit att</w:t>
      </w:r>
    </w:p>
    <w:p w14:paraId="06D45924" w14:textId="77777777" w:rsidR="0033334B" w:rsidRPr="008E1377" w:rsidRDefault="0033334B" w:rsidP="00B30929">
      <w:pPr>
        <w:pStyle w:val="BodyText"/>
        <w:ind w:right="623"/>
        <w:contextualSpacing/>
      </w:pPr>
      <w:proofErr w:type="gramStart"/>
      <w:r w:rsidRPr="008E1377">
        <w:t>planeringsbidrag</w:t>
      </w:r>
      <w:proofErr w:type="gramEnd"/>
      <w:r w:rsidRPr="008E1377">
        <w:t xml:space="preserve"> från VR för att lämna in en fullständig ansökan om att tas upp i Guide för</w:t>
      </w:r>
      <w:r w:rsidR="00AF7770" w:rsidRPr="008E1377">
        <w:t xml:space="preserve"> </w:t>
      </w:r>
      <w:r w:rsidRPr="008E1377">
        <w:t>forskningens infrastruktur 2016.</w:t>
      </w:r>
    </w:p>
    <w:p w14:paraId="1B6C7666" w14:textId="77777777" w:rsidR="00AF7770" w:rsidRDefault="00AF7770" w:rsidP="00B30929">
      <w:pPr>
        <w:pStyle w:val="BodyText"/>
        <w:ind w:right="623"/>
        <w:contextualSpacing/>
      </w:pPr>
    </w:p>
    <w:p w14:paraId="2B06E300" w14:textId="77777777" w:rsidR="0033334B" w:rsidRDefault="0033334B" w:rsidP="00B30929">
      <w:pPr>
        <w:pStyle w:val="BodyText"/>
        <w:ind w:right="623"/>
        <w:contextualSpacing/>
      </w:pPr>
      <w:r>
        <w:t>Deltagande aktörer är</w:t>
      </w:r>
    </w:p>
    <w:p w14:paraId="423F3677" w14:textId="414ED434" w:rsidR="0033334B" w:rsidRDefault="0033334B" w:rsidP="00B30929">
      <w:pPr>
        <w:pStyle w:val="BodyText"/>
        <w:numPr>
          <w:ilvl w:val="0"/>
          <w:numId w:val="17"/>
        </w:numPr>
        <w:ind w:right="623"/>
        <w:contextualSpacing/>
      </w:pPr>
      <w:r w:rsidRPr="00F028B8">
        <w:t xml:space="preserve">Visual Arena Research - </w:t>
      </w:r>
      <w:r>
        <w:t>Chalmers, Göteborgs u</w:t>
      </w:r>
      <w:r w:rsidR="0034118F">
        <w:t>niversitet och Sahlgrenska U</w:t>
      </w:r>
      <w:r w:rsidR="00F03D2B">
        <w:t>niversitets</w:t>
      </w:r>
      <w:r>
        <w:t>sjukhuset</w:t>
      </w:r>
    </w:p>
    <w:p w14:paraId="0E19474E" w14:textId="77777777" w:rsidR="0033334B" w:rsidRDefault="0033334B" w:rsidP="00B30929">
      <w:pPr>
        <w:pStyle w:val="BodyText"/>
        <w:numPr>
          <w:ilvl w:val="0"/>
          <w:numId w:val="17"/>
        </w:numPr>
        <w:ind w:right="623"/>
        <w:contextualSpacing/>
      </w:pPr>
      <w:r w:rsidRPr="00F028B8">
        <w:t xml:space="preserve">Visualiseringscenter C - </w:t>
      </w:r>
      <w:r>
        <w:t>Norrköping (C-Research vid Linköpings universitet)</w:t>
      </w:r>
    </w:p>
    <w:p w14:paraId="7AD1272A" w14:textId="77777777" w:rsidR="0033334B" w:rsidRDefault="0033334B" w:rsidP="00B30929">
      <w:pPr>
        <w:pStyle w:val="BodyText"/>
        <w:numPr>
          <w:ilvl w:val="0"/>
          <w:numId w:val="17"/>
        </w:numPr>
        <w:ind w:right="623"/>
        <w:contextualSpacing/>
      </w:pPr>
      <w:proofErr w:type="spellStart"/>
      <w:r w:rsidRPr="00F028B8">
        <w:lastRenderedPageBreak/>
        <w:t>Visualization</w:t>
      </w:r>
      <w:proofErr w:type="spellEnd"/>
      <w:r w:rsidRPr="00F028B8">
        <w:t xml:space="preserve"> Interaction and </w:t>
      </w:r>
      <w:proofErr w:type="spellStart"/>
      <w:r w:rsidRPr="00F028B8">
        <w:t>Collaboration</w:t>
      </w:r>
      <w:proofErr w:type="spellEnd"/>
      <w:r w:rsidRPr="00F028B8">
        <w:t xml:space="preserve"> - </w:t>
      </w:r>
      <w:r>
        <w:t>Stockholm (KTH-VIC)</w:t>
      </w:r>
    </w:p>
    <w:p w14:paraId="44D8806D" w14:textId="77777777" w:rsidR="0033334B" w:rsidRDefault="0033334B" w:rsidP="00B30929">
      <w:pPr>
        <w:pStyle w:val="BodyText"/>
        <w:numPr>
          <w:ilvl w:val="0"/>
          <w:numId w:val="17"/>
        </w:numPr>
        <w:ind w:right="623"/>
        <w:contextualSpacing/>
      </w:pPr>
      <w:r w:rsidRPr="00F028B8">
        <w:t xml:space="preserve">Designvetenskaper - </w:t>
      </w:r>
      <w:r>
        <w:t>Lunds universitet</w:t>
      </w:r>
    </w:p>
    <w:p w14:paraId="40C3AD57" w14:textId="77777777" w:rsidR="00AF7770" w:rsidRDefault="00AF7770" w:rsidP="00B30929">
      <w:pPr>
        <w:pStyle w:val="BodyText"/>
        <w:ind w:right="623"/>
        <w:contextualSpacing/>
      </w:pPr>
    </w:p>
    <w:p w14:paraId="2DDDB0FB" w14:textId="77777777" w:rsidR="0033334B" w:rsidRDefault="0033334B" w:rsidP="00B30929">
      <w:pPr>
        <w:pStyle w:val="BodyText"/>
        <w:ind w:right="623"/>
        <w:contextualSpacing/>
      </w:pPr>
      <w:r>
        <w:t xml:space="preserve">Syftet med konsortiet är att tillhandahålla en nationell resurs med </w:t>
      </w:r>
      <w:proofErr w:type="spellStart"/>
      <w:r>
        <w:t>state</w:t>
      </w:r>
      <w:proofErr w:type="spellEnd"/>
      <w:r>
        <w:t>-</w:t>
      </w:r>
      <w:proofErr w:type="spellStart"/>
      <w:r>
        <w:t>of</w:t>
      </w:r>
      <w:proofErr w:type="spellEnd"/>
      <w:r>
        <w:t>-the-art teknik och</w:t>
      </w:r>
    </w:p>
    <w:p w14:paraId="2CDB66E0" w14:textId="77777777" w:rsidR="0033334B" w:rsidRDefault="0033334B" w:rsidP="00B30929">
      <w:pPr>
        <w:pStyle w:val="BodyText"/>
        <w:ind w:right="623"/>
        <w:contextualSpacing/>
      </w:pPr>
      <w:proofErr w:type="gramStart"/>
      <w:r>
        <w:t>applikationsexperter för visualisering inom alla teknikvetenskaper.</w:t>
      </w:r>
      <w:proofErr w:type="gramEnd"/>
      <w:r>
        <w:t xml:space="preserve"> Ett prioriterat mål är att</w:t>
      </w:r>
    </w:p>
    <w:p w14:paraId="7806631B" w14:textId="77777777" w:rsidR="0033334B" w:rsidRDefault="0033334B" w:rsidP="00B30929">
      <w:pPr>
        <w:pStyle w:val="BodyText"/>
        <w:ind w:right="623"/>
        <w:contextualSpacing/>
      </w:pPr>
      <w:r>
        <w:t>främja användning av visualisering och e-vetenskap inom humaniora och samhällsvetenskaperna.</w:t>
      </w:r>
    </w:p>
    <w:p w14:paraId="28150ACE" w14:textId="77777777" w:rsidR="0002025B" w:rsidRDefault="0002025B" w:rsidP="00B30929">
      <w:pPr>
        <w:pStyle w:val="BodyText"/>
        <w:ind w:right="623"/>
        <w:contextualSpacing/>
      </w:pPr>
    </w:p>
    <w:p w14:paraId="4A4C4E63" w14:textId="77777777" w:rsidR="0033334B" w:rsidRDefault="0033334B" w:rsidP="00B30929">
      <w:pPr>
        <w:pStyle w:val="BodyText"/>
        <w:ind w:right="623"/>
        <w:contextualSpacing/>
      </w:pPr>
      <w:r>
        <w:t xml:space="preserve">Kontakt: </w:t>
      </w:r>
      <w:r w:rsidR="0002025B">
        <w:t xml:space="preserve">Björn Thuresson, </w:t>
      </w:r>
      <w:hyperlink r:id="rId10" w:history="1">
        <w:r w:rsidR="00FD5351" w:rsidRPr="0006640A">
          <w:rPr>
            <w:rStyle w:val="Hyperlink"/>
          </w:rPr>
          <w:t>thure@csc.kth.se</w:t>
        </w:r>
      </w:hyperlink>
    </w:p>
    <w:p w14:paraId="6C6805BA" w14:textId="77777777" w:rsidR="00FC7FF9" w:rsidRDefault="00FC7FF9" w:rsidP="00B30929">
      <w:pPr>
        <w:pStyle w:val="Heading2"/>
        <w:ind w:right="623"/>
      </w:pPr>
    </w:p>
    <w:p w14:paraId="6DB0A1A2" w14:textId="77777777" w:rsidR="0033334B" w:rsidRDefault="0033334B" w:rsidP="00B30929">
      <w:pPr>
        <w:pStyle w:val="Heading2"/>
        <w:ind w:right="623"/>
      </w:pPr>
      <w:bookmarkStart w:id="5" w:name="_Toc421108489"/>
      <w:r>
        <w:t>Talteknologi</w:t>
      </w:r>
      <w:r w:rsidR="00F11225">
        <w:t xml:space="preserve"> – en nationell taldatabas</w:t>
      </w:r>
      <w:bookmarkEnd w:id="5"/>
    </w:p>
    <w:p w14:paraId="53FF6045" w14:textId="6D3BA214" w:rsidR="0033334B" w:rsidRPr="00AF7770" w:rsidRDefault="0033334B" w:rsidP="00B30929">
      <w:pPr>
        <w:pStyle w:val="BodyText"/>
        <w:ind w:right="623"/>
        <w:contextualSpacing/>
      </w:pPr>
      <w:r w:rsidRPr="00AF7770">
        <w:t xml:space="preserve">Talteknologin utvecklas snabbt och har pekats ut som </w:t>
      </w:r>
      <w:proofErr w:type="gramStart"/>
      <w:r w:rsidRPr="00AF7770">
        <w:t>ett</w:t>
      </w:r>
      <w:proofErr w:type="gramEnd"/>
      <w:r w:rsidRPr="00AF7770">
        <w:t xml:space="preserve"> viktigt utvecklingsfokus inom EU och av</w:t>
      </w:r>
      <w:r w:rsidR="00B30929">
        <w:t xml:space="preserve"> </w:t>
      </w:r>
      <w:r w:rsidRPr="00AF7770">
        <w:t>stora industrier (IBM, Google). Vid KTH bedrivs forskning inom talteknologi sedan lång tid inom</w:t>
      </w:r>
      <w:r w:rsidR="00B30929">
        <w:t xml:space="preserve"> </w:t>
      </w:r>
      <w:proofErr w:type="spellStart"/>
      <w:r w:rsidRPr="00AF7770">
        <w:t>avd</w:t>
      </w:r>
      <w:proofErr w:type="spellEnd"/>
      <w:r w:rsidRPr="00AF7770">
        <w:t xml:space="preserve"> för Tal</w:t>
      </w:r>
      <w:r w:rsidR="00F11225">
        <w:t>, musik och hörsel (TMH)</w:t>
      </w:r>
      <w:r w:rsidRPr="00AF7770">
        <w:t>. Området har en nyckelposition inom utvecklingen av</w:t>
      </w:r>
    </w:p>
    <w:p w14:paraId="071D13E8" w14:textId="77777777" w:rsidR="0033334B" w:rsidRPr="00AF7770" w:rsidRDefault="0033334B" w:rsidP="00B30929">
      <w:pPr>
        <w:pStyle w:val="BodyText"/>
        <w:ind w:right="623"/>
        <w:contextualSpacing/>
      </w:pPr>
      <w:r w:rsidRPr="00AF7770">
        <w:t>en rad stora områden i hela samhället, exempelvis myndigheter (tillgänglighet), tjänstesektorn</w:t>
      </w:r>
    </w:p>
    <w:p w14:paraId="7AFE2653" w14:textId="169F3B6B" w:rsidR="0033334B" w:rsidRDefault="0033334B" w:rsidP="00B30929">
      <w:pPr>
        <w:pStyle w:val="BodyText"/>
        <w:ind w:right="623"/>
        <w:contextualSpacing/>
      </w:pPr>
      <w:r w:rsidRPr="00AF7770">
        <w:t xml:space="preserve">(automatiserade tjänster), konsumentindustrin (personliga assistenter på nätet Siri, Google </w:t>
      </w:r>
      <w:proofErr w:type="spellStart"/>
      <w:r w:rsidRPr="00AF7770">
        <w:t>Now</w:t>
      </w:r>
      <w:proofErr w:type="spellEnd"/>
      <w:r w:rsidRPr="00AF7770">
        <w:t>),</w:t>
      </w:r>
      <w:r w:rsidR="00B30929">
        <w:t xml:space="preserve"> </w:t>
      </w:r>
      <w:r w:rsidRPr="00AF7770">
        <w:t>vården (automatisk transkription och diagnostiskt stöd) och underhållningsindustrin (automatisk</w:t>
      </w:r>
      <w:r w:rsidR="00B30929">
        <w:t xml:space="preserve"> </w:t>
      </w:r>
      <w:r w:rsidRPr="00AF7770">
        <w:t>simultantextning av film och TV på svenska/ minoritetsspråk). Talteknologi är dessutom en</w:t>
      </w:r>
      <w:r w:rsidR="00B30929">
        <w:t xml:space="preserve"> </w:t>
      </w:r>
      <w:r w:rsidRPr="00AF7770">
        <w:t>huvudingrediens i framväxande strategiska områden för kommunikat</w:t>
      </w:r>
      <w:r w:rsidR="00AF7770">
        <w:t xml:space="preserve">ion människa-maskin, där social </w:t>
      </w:r>
      <w:r w:rsidRPr="00AF7770">
        <w:t>robotik intar en nyckelroll.</w:t>
      </w:r>
    </w:p>
    <w:p w14:paraId="03113C43" w14:textId="77777777" w:rsidR="00AF7770" w:rsidRPr="00AF7770" w:rsidRDefault="00AF7770" w:rsidP="00B30929">
      <w:pPr>
        <w:pStyle w:val="BodyText"/>
        <w:ind w:right="623"/>
        <w:contextualSpacing/>
      </w:pPr>
    </w:p>
    <w:p w14:paraId="211B7496" w14:textId="4BFEC6FE" w:rsidR="0033334B" w:rsidRPr="00AF7770" w:rsidRDefault="0033334B" w:rsidP="00B30929">
      <w:pPr>
        <w:pStyle w:val="BodyText"/>
        <w:ind w:right="623"/>
        <w:contextualSpacing/>
      </w:pPr>
      <w:r w:rsidRPr="00AF7770">
        <w:t>Behovet av en gemensam svensk resurssamling för databaser för talad dialog (audio och video med</w:t>
      </w:r>
      <w:r w:rsidR="00B30929">
        <w:t xml:space="preserve"> </w:t>
      </w:r>
      <w:r w:rsidRPr="00AF7770">
        <w:t>annoteringar och transkription) är stort för att kunna effektivise</w:t>
      </w:r>
      <w:r w:rsidR="00AF7770">
        <w:t xml:space="preserve">ra grundforskningen och att öka </w:t>
      </w:r>
      <w:r w:rsidRPr="00AF7770">
        <w:t>konkurrenskraften för svenska företag inom talteknologi. Multinationella företag (Google, Microsoft,</w:t>
      </w:r>
      <w:r w:rsidR="00B30929">
        <w:t xml:space="preserve"> </w:t>
      </w:r>
      <w:r w:rsidRPr="00AF7770">
        <w:t>Apple) samlar in stora datamängder talad kommunikation via sina tjänster och lägger under sig små</w:t>
      </w:r>
      <w:r w:rsidR="00B30929">
        <w:t xml:space="preserve"> </w:t>
      </w:r>
      <w:r w:rsidRPr="00AF7770">
        <w:t xml:space="preserve">språkdomäner. Två särskilt starka argument för en </w:t>
      </w:r>
      <w:r w:rsidRPr="00F11225">
        <w:t>nationell taldatabas</w:t>
      </w:r>
      <w:r w:rsidRPr="00AF7770">
        <w:t xml:space="preserve"> är svensk språklig</w:t>
      </w:r>
      <w:r w:rsidR="00B30929">
        <w:t xml:space="preserve"> </w:t>
      </w:r>
      <w:r w:rsidRPr="00AF7770">
        <w:t>självständighet och förutsättningar för internationellt framstående f</w:t>
      </w:r>
      <w:r w:rsidR="00AF7770">
        <w:t xml:space="preserve">orskning och en uthållig svensk </w:t>
      </w:r>
      <w:r w:rsidRPr="00AF7770">
        <w:t xml:space="preserve">industri inom talteknologi. Svenska språkets användning i det digitala </w:t>
      </w:r>
      <w:r w:rsidR="00AF7770">
        <w:t xml:space="preserve">samhället är för viktig för att </w:t>
      </w:r>
      <w:r w:rsidRPr="00AF7770">
        <w:t>lämnas i händerna på multinationella företag.</w:t>
      </w:r>
    </w:p>
    <w:p w14:paraId="35547556" w14:textId="77777777" w:rsidR="0033334B" w:rsidRPr="00AF7770" w:rsidRDefault="0033334B" w:rsidP="00B30929">
      <w:pPr>
        <w:pStyle w:val="BodyText"/>
        <w:ind w:right="623"/>
        <w:contextualSpacing/>
      </w:pPr>
    </w:p>
    <w:p w14:paraId="580D4274" w14:textId="7F2C043A" w:rsidR="0033334B" w:rsidRPr="00AF7770" w:rsidRDefault="0033334B" w:rsidP="00B30929">
      <w:pPr>
        <w:pStyle w:val="BodyText"/>
        <w:ind w:right="623"/>
        <w:contextualSpacing/>
      </w:pPr>
      <w:r w:rsidRPr="00AF7770">
        <w:t>Det finns idag en duglig nationell infrastruktur för textbaserad språkteknologi, huvudsakligen i form</w:t>
      </w:r>
      <w:r w:rsidR="00B30929">
        <w:t xml:space="preserve"> </w:t>
      </w:r>
      <w:r w:rsidRPr="00AF7770">
        <w:t>av Språkbanken på Göteborgs Universitet. En motsvarande nationell resurs för talad svenska saknas</w:t>
      </w:r>
      <w:r w:rsidR="00B30929">
        <w:t xml:space="preserve"> </w:t>
      </w:r>
      <w:r w:rsidRPr="00AF7770">
        <w:t>helt. KTH har fått i uppdrag att under året genomföra två genomlysningar av svenska taldataresurser,</w:t>
      </w:r>
      <w:r w:rsidR="00B30929">
        <w:t xml:space="preserve"> </w:t>
      </w:r>
      <w:r w:rsidRPr="00AF7770">
        <w:t>en inom SWE-CLARIN med fokus på resurser för humanistisk och samhällsvetenskaplig forskning</w:t>
      </w:r>
      <w:r w:rsidR="00B30929">
        <w:t xml:space="preserve"> </w:t>
      </w:r>
      <w:r w:rsidRPr="00AF7770">
        <w:t xml:space="preserve">och en inom PTS regeringsuppdrag. SWE-CLARIN (Common </w:t>
      </w:r>
      <w:proofErr w:type="spellStart"/>
      <w:r w:rsidRPr="00AF7770">
        <w:t>Language</w:t>
      </w:r>
      <w:proofErr w:type="spellEnd"/>
      <w:r w:rsidRPr="00AF7770">
        <w:t xml:space="preserve"> Resources and</w:t>
      </w:r>
      <w:r w:rsidR="00B30929">
        <w:t xml:space="preserve"> </w:t>
      </w:r>
      <w:proofErr w:type="spellStart"/>
      <w:r w:rsidRPr="00AF7770">
        <w:t>Technology</w:t>
      </w:r>
      <w:proofErr w:type="spellEnd"/>
      <w:r w:rsidRPr="00AF7770">
        <w:t>) är svensk nod i en europeisk infrastruktur för alla ämnesdiscipliner som använder</w:t>
      </w:r>
      <w:r w:rsidR="00B30929">
        <w:t xml:space="preserve"> </w:t>
      </w:r>
      <w:r w:rsidRPr="00AF7770">
        <w:t>språkmaterial och upptagen i VRs Guide för forskningens infrastruktur 2014.</w:t>
      </w:r>
    </w:p>
    <w:p w14:paraId="0FBB41F9" w14:textId="77777777" w:rsidR="00AF7770" w:rsidRDefault="00AF7770" w:rsidP="00B30929">
      <w:pPr>
        <w:pStyle w:val="BodyText"/>
        <w:ind w:right="623"/>
        <w:contextualSpacing/>
      </w:pPr>
    </w:p>
    <w:p w14:paraId="1DDE9B2A" w14:textId="77777777" w:rsidR="0033334B" w:rsidRPr="00AF7770" w:rsidRDefault="0033334B" w:rsidP="00B30929">
      <w:pPr>
        <w:pStyle w:val="BodyText"/>
        <w:ind w:right="623"/>
        <w:contextualSpacing/>
      </w:pPr>
      <w:r w:rsidRPr="00AF7770">
        <w:t>En inledande process för att skapa ett nationellt konsortium för en långsiktig uppbyggnad av en</w:t>
      </w:r>
    </w:p>
    <w:p w14:paraId="389481F2" w14:textId="7BEA80F8" w:rsidR="0033334B" w:rsidRPr="00AF7770" w:rsidRDefault="0033334B" w:rsidP="00B30929">
      <w:pPr>
        <w:pStyle w:val="BodyText"/>
        <w:ind w:right="623"/>
        <w:contextualSpacing/>
      </w:pPr>
      <w:r w:rsidRPr="00AF7770">
        <w:t>infrastruktur för svenska taldatabaser pågår med PTS, Myndigheten för tillgängliga media, Kungliga</w:t>
      </w:r>
      <w:r w:rsidR="00B30929">
        <w:t xml:space="preserve"> B</w:t>
      </w:r>
      <w:r w:rsidRPr="00AF7770">
        <w:t xml:space="preserve">iblioteket och sex universitet, KTH, LU, GU, </w:t>
      </w:r>
      <w:proofErr w:type="spellStart"/>
      <w:r w:rsidRPr="00AF7770">
        <w:t>LiU</w:t>
      </w:r>
      <w:proofErr w:type="spellEnd"/>
      <w:r w:rsidRPr="00AF7770">
        <w:t>, UU, SU och KI, som aktörer.</w:t>
      </w:r>
    </w:p>
    <w:p w14:paraId="3449F8A8" w14:textId="77777777" w:rsidR="00AF7770" w:rsidRDefault="00AF7770" w:rsidP="00B30929">
      <w:pPr>
        <w:pStyle w:val="BodyText"/>
        <w:ind w:right="623"/>
        <w:contextualSpacing/>
      </w:pPr>
    </w:p>
    <w:p w14:paraId="4D565678" w14:textId="6E62983C" w:rsidR="0033334B" w:rsidRDefault="0033334B" w:rsidP="00B30929">
      <w:pPr>
        <w:pStyle w:val="BodyText"/>
        <w:ind w:right="623"/>
        <w:contextualSpacing/>
      </w:pPr>
      <w:r w:rsidRPr="00AF7770">
        <w:t>Investeringen som krävs långsiktig</w:t>
      </w:r>
      <w:r w:rsidR="00A75F33">
        <w:t>t</w:t>
      </w:r>
      <w:r w:rsidRPr="00AF7770">
        <w:t xml:space="preserve"> för uppbyggnad för en nationell infrastruktur för talteknologi kan</w:t>
      </w:r>
      <w:r w:rsidR="00B30929">
        <w:t xml:space="preserve"> </w:t>
      </w:r>
      <w:r w:rsidRPr="00AF7770">
        <w:t>uppskattas till 100 – 150 Mkr och kostnaden för drift 10 – 20 Mkr/år.</w:t>
      </w:r>
    </w:p>
    <w:p w14:paraId="044023B2" w14:textId="77777777" w:rsidR="00940848" w:rsidRDefault="00940848" w:rsidP="00B30929">
      <w:pPr>
        <w:pStyle w:val="BodyText"/>
        <w:ind w:right="623"/>
        <w:contextualSpacing/>
      </w:pPr>
    </w:p>
    <w:p w14:paraId="2BA61EEF" w14:textId="77777777" w:rsidR="00D569C6" w:rsidRDefault="0002025B" w:rsidP="00B30929">
      <w:pPr>
        <w:pStyle w:val="BodyText"/>
        <w:ind w:right="623"/>
        <w:contextualSpacing/>
      </w:pPr>
      <w:r>
        <w:t xml:space="preserve">Kontakt: Joakim Gustafson, </w:t>
      </w:r>
      <w:hyperlink r:id="rId11" w:history="1">
        <w:r w:rsidR="00D569C6" w:rsidRPr="0006640A">
          <w:rPr>
            <w:rStyle w:val="Hyperlink"/>
          </w:rPr>
          <w:t>jocke@speech.kth.se</w:t>
        </w:r>
      </w:hyperlink>
    </w:p>
    <w:p w14:paraId="7EC950C4" w14:textId="77777777" w:rsidR="00A827FC" w:rsidRDefault="00A827FC" w:rsidP="00B30929">
      <w:pPr>
        <w:pStyle w:val="Heading2"/>
        <w:ind w:right="623"/>
      </w:pPr>
      <w:bookmarkStart w:id="6" w:name="_Toc421108490"/>
      <w:proofErr w:type="spellStart"/>
      <w:r>
        <w:lastRenderedPageBreak/>
        <w:t>Lig</w:t>
      </w:r>
      <w:r w:rsidRPr="00A827FC">
        <w:t>h</w:t>
      </w:r>
      <w:r>
        <w:t>t</w:t>
      </w:r>
      <w:proofErr w:type="spellEnd"/>
      <w:r w:rsidRPr="00A827FC">
        <w:t xml:space="preserve"> for Science </w:t>
      </w:r>
      <w:proofErr w:type="spellStart"/>
      <w:r w:rsidRPr="00A827FC">
        <w:t>Laboratory</w:t>
      </w:r>
      <w:bookmarkEnd w:id="6"/>
      <w:proofErr w:type="spellEnd"/>
    </w:p>
    <w:p w14:paraId="0C2C6465" w14:textId="77777777" w:rsidR="00545699" w:rsidRDefault="00A827FC" w:rsidP="00B30929">
      <w:pPr>
        <w:pStyle w:val="BodyText"/>
        <w:ind w:right="623"/>
      </w:pPr>
      <w:r w:rsidRPr="00AF6970">
        <w:t>Användarnas ämnesområden: Kondenserade materiens fysik, ytkemi, strukturbiologi, nanoteknik och avbildning</w:t>
      </w:r>
      <w:r w:rsidR="00323475" w:rsidRPr="00AF6970">
        <w:t xml:space="preserve">. </w:t>
      </w:r>
    </w:p>
    <w:p w14:paraId="1E142D77" w14:textId="77777777" w:rsidR="0044421D" w:rsidRPr="00AF6970" w:rsidRDefault="00323475" w:rsidP="00B30929">
      <w:pPr>
        <w:pStyle w:val="BodyText"/>
        <w:ind w:right="623"/>
      </w:pPr>
      <w:r w:rsidRPr="00AF6970">
        <w:t xml:space="preserve">Antal </w:t>
      </w:r>
      <w:r w:rsidR="00D3524D">
        <w:t xml:space="preserve">nationella </w:t>
      </w:r>
      <w:r w:rsidRPr="00AF6970">
        <w:t>användare beräknas vara ca 100 + internationella användare.</w:t>
      </w:r>
    </w:p>
    <w:p w14:paraId="0720FF9B" w14:textId="77777777" w:rsidR="00D3524D" w:rsidRPr="002A15E3" w:rsidRDefault="00D3524D" w:rsidP="00B30929">
      <w:pPr>
        <w:pStyle w:val="Default"/>
        <w:ind w:right="623"/>
        <w:rPr>
          <w:rFonts w:asciiTheme="minorHAnsi" w:hAnsiTheme="minorHAnsi" w:cstheme="minorBidi"/>
          <w:color w:val="auto"/>
          <w:sz w:val="20"/>
          <w:szCs w:val="20"/>
        </w:rPr>
      </w:pPr>
      <w:r w:rsidRPr="00AF6970">
        <w:rPr>
          <w:rFonts w:asciiTheme="minorHAnsi" w:hAnsiTheme="minorHAnsi" w:cs="Times New Roman"/>
          <w:sz w:val="20"/>
          <w:szCs w:val="20"/>
        </w:rPr>
        <w:t xml:space="preserve">Relevans: för </w:t>
      </w:r>
      <w:proofErr w:type="gramStart"/>
      <w:r w:rsidRPr="00AF6970">
        <w:rPr>
          <w:rFonts w:asciiTheme="minorHAnsi" w:hAnsiTheme="minorHAnsi" w:cs="Times New Roman"/>
          <w:sz w:val="20"/>
          <w:szCs w:val="20"/>
        </w:rPr>
        <w:t>kunna</w:t>
      </w:r>
      <w:proofErr w:type="gramEnd"/>
      <w:r w:rsidRPr="00AF6970">
        <w:rPr>
          <w:rFonts w:asciiTheme="minorHAnsi" w:hAnsiTheme="minorHAnsi" w:cs="Times New Roman"/>
          <w:sz w:val="20"/>
          <w:szCs w:val="20"/>
        </w:rPr>
        <w:t xml:space="preserve"> erbjuda möjlighet att utföra tidsupplöst spektroskopi och avbildning i våglängdsområdet ultraviolett till mjukröntgen. Infrastrukturen kommer att serva användare inom fysik, kemi och biologi med intresse av att studera förlopp på </w:t>
      </w:r>
      <w:proofErr w:type="spellStart"/>
      <w:r w:rsidRPr="00AF6970">
        <w:rPr>
          <w:rFonts w:asciiTheme="minorHAnsi" w:hAnsiTheme="minorHAnsi" w:cs="Times New Roman"/>
          <w:sz w:val="20"/>
          <w:szCs w:val="20"/>
        </w:rPr>
        <w:t>femtosekund</w:t>
      </w:r>
      <w:proofErr w:type="spellEnd"/>
      <w:r w:rsidRPr="00AF6970">
        <w:rPr>
          <w:rFonts w:asciiTheme="minorHAnsi" w:hAnsiTheme="minorHAnsi" w:cs="Times New Roman"/>
          <w:sz w:val="20"/>
          <w:szCs w:val="20"/>
        </w:rPr>
        <w:t xml:space="preserve"> till pikosekunds tidsskala. Den föreslagna infrastrukturen är tänkt att byggas kring ett eller flera övertonsgenereringssystem drivna av högeffektslasrar med hög </w:t>
      </w:r>
      <w:proofErr w:type="spellStart"/>
      <w:r w:rsidRPr="00AF6970">
        <w:rPr>
          <w:rFonts w:asciiTheme="minorHAnsi" w:hAnsiTheme="minorHAnsi" w:cs="Times New Roman"/>
          <w:sz w:val="20"/>
          <w:szCs w:val="20"/>
        </w:rPr>
        <w:t>repetionshastighet</w:t>
      </w:r>
      <w:proofErr w:type="spellEnd"/>
      <w:r w:rsidRPr="00AF6970">
        <w:rPr>
          <w:rFonts w:asciiTheme="minorHAnsi" w:hAnsiTheme="minorHAnsi" w:cs="Times New Roman"/>
          <w:sz w:val="20"/>
          <w:szCs w:val="20"/>
        </w:rPr>
        <w:t>. Förutom ljuskällan är avsikten att anläggningen skall ha ett antal permanenta experimentstationer för elektronspektroskopi och avbildning</w:t>
      </w:r>
      <w:r w:rsidRPr="002A15E3">
        <w:rPr>
          <w:rFonts w:asciiTheme="minorHAnsi" w:hAnsiTheme="minorHAnsi" w:cs="Times New Roman"/>
          <w:sz w:val="20"/>
          <w:szCs w:val="20"/>
        </w:rPr>
        <w:t xml:space="preserve"> </w:t>
      </w:r>
      <w:r w:rsidRPr="00AF6970">
        <w:rPr>
          <w:rFonts w:asciiTheme="minorHAnsi" w:hAnsiTheme="minorHAnsi" w:cs="Times New Roman"/>
          <w:sz w:val="20"/>
          <w:szCs w:val="20"/>
        </w:rPr>
        <w:t>samt möjlighet att ackommodera externa experimentstationer.</w:t>
      </w:r>
    </w:p>
    <w:p w14:paraId="17FA9AD4" w14:textId="77777777" w:rsidR="00D3524D" w:rsidRPr="00AF6970" w:rsidRDefault="00D3524D" w:rsidP="00B30929">
      <w:pPr>
        <w:autoSpaceDE w:val="0"/>
        <w:autoSpaceDN w:val="0"/>
        <w:adjustRightInd w:val="0"/>
        <w:ind w:right="623"/>
        <w:rPr>
          <w:rFonts w:cs="Times New Roman"/>
          <w:color w:val="000000"/>
        </w:rPr>
      </w:pPr>
    </w:p>
    <w:p w14:paraId="04126F5E" w14:textId="77777777" w:rsidR="00D3524D" w:rsidRDefault="00D3524D" w:rsidP="00B30929">
      <w:pPr>
        <w:autoSpaceDE w:val="0"/>
        <w:autoSpaceDN w:val="0"/>
        <w:adjustRightInd w:val="0"/>
        <w:ind w:right="623"/>
        <w:rPr>
          <w:rFonts w:cs="Times New Roman"/>
          <w:color w:val="000000"/>
        </w:rPr>
      </w:pPr>
      <w:r w:rsidRPr="002A15E3">
        <w:rPr>
          <w:rFonts w:cs="Times New Roman"/>
          <w:color w:val="000000"/>
        </w:rPr>
        <w:t xml:space="preserve">Förslaget stöds av ca 50 seniora forskare från KTH, Stockholms universitet, Uppsala universitet, Chalmers, Göteborgs universitet, Linköpings universitet, Karlstads universitet och Lunds universitet. </w:t>
      </w:r>
    </w:p>
    <w:p w14:paraId="52470D0A" w14:textId="77777777" w:rsidR="00D3524D" w:rsidRPr="002A15E3" w:rsidRDefault="00D3524D" w:rsidP="00B30929">
      <w:pPr>
        <w:autoSpaceDE w:val="0"/>
        <w:autoSpaceDN w:val="0"/>
        <w:adjustRightInd w:val="0"/>
        <w:ind w:right="623"/>
        <w:rPr>
          <w:rFonts w:cs="Times New Roman"/>
          <w:color w:val="000000"/>
        </w:rPr>
      </w:pPr>
    </w:p>
    <w:p w14:paraId="0ACC12B3" w14:textId="77777777" w:rsidR="0044421D" w:rsidRPr="00AF6970" w:rsidRDefault="00323475" w:rsidP="00B30929">
      <w:pPr>
        <w:autoSpaceDE w:val="0"/>
        <w:autoSpaceDN w:val="0"/>
        <w:adjustRightInd w:val="0"/>
        <w:ind w:right="623"/>
        <w:rPr>
          <w:rFonts w:cs="Times New Roman"/>
          <w:color w:val="000000"/>
        </w:rPr>
      </w:pPr>
      <w:r w:rsidRPr="00AF6970">
        <w:rPr>
          <w:rFonts w:cs="Times New Roman"/>
          <w:color w:val="000000"/>
        </w:rPr>
        <w:t xml:space="preserve">Anläggningen kommer att vara tillgänglig för alla genom ansökan om stråltid och </w:t>
      </w:r>
      <w:proofErr w:type="gramStart"/>
      <w:r w:rsidRPr="00AF6970">
        <w:rPr>
          <w:rFonts w:cs="Times New Roman"/>
          <w:color w:val="000000"/>
        </w:rPr>
        <w:t>granskningsförfarande</w:t>
      </w:r>
      <w:proofErr w:type="gramEnd"/>
      <w:r w:rsidRPr="00AF6970">
        <w:rPr>
          <w:rFonts w:cs="Times New Roman"/>
          <w:color w:val="000000"/>
        </w:rPr>
        <w:t xml:space="preserve"> enl. gängse internationella principer för ljuskällor. Avsikten är också att anläggningen skall tillhandahålla experimentellt stöd och analysstöd för nya användare samt sommarskolor med teoretiskt så väl som praktiskt innehåll speciellt riktat mot doktorander och yngre forskare.</w:t>
      </w:r>
    </w:p>
    <w:p w14:paraId="51F61D3D" w14:textId="77777777" w:rsidR="00AF6970" w:rsidRPr="00AF6970" w:rsidRDefault="00AF6970" w:rsidP="00B30929">
      <w:pPr>
        <w:autoSpaceDE w:val="0"/>
        <w:autoSpaceDN w:val="0"/>
        <w:adjustRightInd w:val="0"/>
        <w:ind w:right="623"/>
        <w:rPr>
          <w:rFonts w:cs="Times New Roman"/>
          <w:color w:val="000000"/>
        </w:rPr>
      </w:pPr>
    </w:p>
    <w:p w14:paraId="69CCA08C" w14:textId="77777777" w:rsidR="00AF6970" w:rsidRPr="00AF6970" w:rsidRDefault="00AF6970" w:rsidP="00B30929">
      <w:pPr>
        <w:autoSpaceDE w:val="0"/>
        <w:autoSpaceDN w:val="0"/>
        <w:adjustRightInd w:val="0"/>
        <w:ind w:right="623"/>
        <w:rPr>
          <w:rFonts w:cs="Times New Roman"/>
          <w:color w:val="000000"/>
        </w:rPr>
      </w:pPr>
      <w:r w:rsidRPr="00AF6970">
        <w:rPr>
          <w:rFonts w:cs="Times New Roman"/>
          <w:color w:val="000000"/>
        </w:rPr>
        <w:t xml:space="preserve">Anläggningen förväntas generera avsevärda datamängder och med repetitionsfrekvenser i MHz området kommer med största sannolikhet data från enskilda pulser inte att kunna lagras utan endast statistiska värden. I det senare fallet bör datamängderna vara av en volym som kan hanteras med standardiserade datalagringstekniker. </w:t>
      </w:r>
    </w:p>
    <w:p w14:paraId="6A381092" w14:textId="77777777" w:rsidR="002A15E3" w:rsidRDefault="002E0375" w:rsidP="00B30929">
      <w:pPr>
        <w:pStyle w:val="BodyText"/>
        <w:ind w:right="623"/>
      </w:pPr>
      <w:r>
        <w:br/>
      </w:r>
      <w:r w:rsidR="00D3524D">
        <w:t xml:space="preserve">En tidplan som specificerar uppbyggnaden samt </w:t>
      </w:r>
      <w:r>
        <w:t xml:space="preserve">en budget som specificerar </w:t>
      </w:r>
      <w:r w:rsidR="00D3524D">
        <w:t xml:space="preserve">de </w:t>
      </w:r>
      <w:r>
        <w:t>stora posterna</w:t>
      </w:r>
      <w:r w:rsidR="00FC7FF9" w:rsidRPr="00FC7FF9">
        <w:t xml:space="preserve"> </w:t>
      </w:r>
      <w:r w:rsidR="00FC7FF9">
        <w:t>existerar</w:t>
      </w:r>
      <w:r>
        <w:t xml:space="preserve">. </w:t>
      </w:r>
    </w:p>
    <w:p w14:paraId="03E09898" w14:textId="77777777" w:rsidR="00D1285E" w:rsidRDefault="003F66EC" w:rsidP="00B30929">
      <w:pPr>
        <w:pStyle w:val="BodyText"/>
        <w:ind w:right="623"/>
      </w:pPr>
      <w:r>
        <w:t>I</w:t>
      </w:r>
      <w:r w:rsidR="00D1285E" w:rsidRPr="003F66EC">
        <w:t>nfrastruktur</w:t>
      </w:r>
      <w:r>
        <w:t xml:space="preserve">en har en nationell förankring och </w:t>
      </w:r>
      <w:r w:rsidR="00545699">
        <w:t>en framskriden planering</w:t>
      </w:r>
      <w:r>
        <w:t xml:space="preserve"> samt har parallellt lämnat in en ansökan till KAW, som ligger för behandling.</w:t>
      </w:r>
    </w:p>
    <w:p w14:paraId="5A4AB3BE" w14:textId="77777777" w:rsidR="00F11225" w:rsidRPr="00AF6970" w:rsidRDefault="00F11225" w:rsidP="00B30929">
      <w:pPr>
        <w:pStyle w:val="BodyText"/>
        <w:ind w:right="623"/>
      </w:pPr>
      <w:r w:rsidRPr="00AF6970">
        <w:t>Investeringskostnad: 82 mkr, årlig driftskostnad: 10-15 mkr</w:t>
      </w:r>
    </w:p>
    <w:p w14:paraId="7EDE6686" w14:textId="77777777" w:rsidR="0002025B" w:rsidRPr="0002025B" w:rsidRDefault="00263E47" w:rsidP="00B30929">
      <w:pPr>
        <w:pStyle w:val="BodyText"/>
        <w:ind w:right="623"/>
        <w:rPr>
          <w:color w:val="0000FF" w:themeColor="hyperlink"/>
          <w:u w:val="single"/>
        </w:rPr>
      </w:pPr>
      <w:r>
        <w:t>Kontaktperson: Oscar Tje</w:t>
      </w:r>
      <w:r w:rsidR="00446216">
        <w:t>rnberg</w:t>
      </w:r>
      <w:r>
        <w:t xml:space="preserve">, </w:t>
      </w:r>
      <w:hyperlink r:id="rId12" w:history="1">
        <w:r>
          <w:rPr>
            <w:rStyle w:val="Hyperlink"/>
          </w:rPr>
          <w:t>oscar@kth.se</w:t>
        </w:r>
      </w:hyperlink>
    </w:p>
    <w:p w14:paraId="35100F1A" w14:textId="77777777" w:rsidR="00FC7FF9" w:rsidRDefault="00FC7FF9" w:rsidP="00B30929">
      <w:pPr>
        <w:pStyle w:val="Heading2"/>
        <w:ind w:right="623"/>
      </w:pPr>
    </w:p>
    <w:p w14:paraId="44202BFE" w14:textId="77777777" w:rsidR="006F5CAE" w:rsidRDefault="006F5CAE" w:rsidP="00B30929">
      <w:pPr>
        <w:pStyle w:val="Heading2"/>
        <w:ind w:right="623"/>
      </w:pPr>
      <w:bookmarkStart w:id="7" w:name="_Toc421108491"/>
      <w:r>
        <w:t xml:space="preserve">A national </w:t>
      </w:r>
      <w:proofErr w:type="spellStart"/>
      <w:r>
        <w:t>Infrastructure</w:t>
      </w:r>
      <w:proofErr w:type="spellEnd"/>
      <w:r>
        <w:t xml:space="preserve"> for Quantum </w:t>
      </w:r>
      <w:r w:rsidRPr="006F5CAE">
        <w:t>Technologies</w:t>
      </w:r>
      <w:bookmarkEnd w:id="7"/>
    </w:p>
    <w:p w14:paraId="2144770F" w14:textId="57773699" w:rsidR="006F5CAE" w:rsidRPr="006F5CAE" w:rsidRDefault="006F5CAE" w:rsidP="00B30929">
      <w:pPr>
        <w:pStyle w:val="BodyText"/>
        <w:ind w:right="623"/>
      </w:pPr>
      <w:r w:rsidRPr="006F5CAE">
        <w:t xml:space="preserve">Ett initiativ som </w:t>
      </w:r>
      <w:r w:rsidR="00FC7FF9">
        <w:t>befinner sig i ett relativt tidigt stadi</w:t>
      </w:r>
      <w:r w:rsidR="00B30929">
        <w:t>um</w:t>
      </w:r>
      <w:r w:rsidRPr="006F5CAE">
        <w:t xml:space="preserve">. </w:t>
      </w:r>
    </w:p>
    <w:p w14:paraId="5A982E60" w14:textId="77777777" w:rsidR="006F5CAE" w:rsidRDefault="006F5CAE" w:rsidP="00B30929">
      <w:pPr>
        <w:pStyle w:val="BodyText"/>
        <w:ind w:right="623"/>
      </w:pPr>
      <w:r>
        <w:t xml:space="preserve">”For Sweden </w:t>
      </w:r>
      <w:proofErr w:type="spellStart"/>
      <w:r>
        <w:t>to</w:t>
      </w:r>
      <w:proofErr w:type="spellEnd"/>
      <w:r>
        <w:t xml:space="preserve"> </w:t>
      </w:r>
      <w:proofErr w:type="spellStart"/>
      <w:r>
        <w:t>keep</w:t>
      </w:r>
      <w:proofErr w:type="spellEnd"/>
      <w:r>
        <w:t xml:space="preserve"> </w:t>
      </w:r>
      <w:proofErr w:type="spellStart"/>
      <w:r>
        <w:t>abreast</w:t>
      </w:r>
      <w:proofErr w:type="spellEnd"/>
      <w:r>
        <w:t xml:space="preserve"> </w:t>
      </w:r>
      <w:proofErr w:type="spellStart"/>
      <w:r>
        <w:t>of</w:t>
      </w:r>
      <w:proofErr w:type="spellEnd"/>
      <w:r>
        <w:t xml:space="preserve"> </w:t>
      </w:r>
      <w:proofErr w:type="spellStart"/>
      <w:r>
        <w:t>these</w:t>
      </w:r>
      <w:proofErr w:type="spellEnd"/>
      <w:r>
        <w:t xml:space="preserve"> </w:t>
      </w:r>
      <w:proofErr w:type="spellStart"/>
      <w:r>
        <w:t>developments</w:t>
      </w:r>
      <w:proofErr w:type="spellEnd"/>
      <w:r>
        <w:t xml:space="preserve"> </w:t>
      </w:r>
      <w:proofErr w:type="spellStart"/>
      <w:r>
        <w:t>there</w:t>
      </w:r>
      <w:proofErr w:type="spellEnd"/>
      <w:r>
        <w:t xml:space="preserve"> </w:t>
      </w:r>
      <w:proofErr w:type="spellStart"/>
      <w:r>
        <w:t>should</w:t>
      </w:r>
      <w:proofErr w:type="spellEnd"/>
      <w:r>
        <w:t xml:space="preserve"> be a </w:t>
      </w:r>
      <w:proofErr w:type="spellStart"/>
      <w:r>
        <w:t>coordinated</w:t>
      </w:r>
      <w:proofErr w:type="spellEnd"/>
      <w:r>
        <w:t xml:space="preserve"> national </w:t>
      </w:r>
      <w:proofErr w:type="spellStart"/>
      <w:r>
        <w:t>effort</w:t>
      </w:r>
      <w:proofErr w:type="spellEnd"/>
      <w:r>
        <w:t xml:space="preserve">. </w:t>
      </w:r>
      <w:proofErr w:type="spellStart"/>
      <w:r>
        <w:t>We</w:t>
      </w:r>
      <w:proofErr w:type="spellEnd"/>
      <w:r>
        <w:t xml:space="preserve"> </w:t>
      </w:r>
      <w:proofErr w:type="spellStart"/>
      <w:r>
        <w:t>see</w:t>
      </w:r>
      <w:proofErr w:type="spellEnd"/>
      <w:r>
        <w:t xml:space="preserve"> the </w:t>
      </w:r>
      <w:proofErr w:type="spellStart"/>
      <w:r>
        <w:t>need</w:t>
      </w:r>
      <w:proofErr w:type="spellEnd"/>
      <w:r>
        <w:t xml:space="preserve"> for new investment in modern </w:t>
      </w:r>
      <w:proofErr w:type="spellStart"/>
      <w:r>
        <w:t>cryogenic</w:t>
      </w:r>
      <w:proofErr w:type="spellEnd"/>
      <w:r>
        <w:t xml:space="preserve"> </w:t>
      </w:r>
      <w:proofErr w:type="spellStart"/>
      <w:r>
        <w:t>equipment</w:t>
      </w:r>
      <w:proofErr w:type="spellEnd"/>
      <w:r>
        <w:t xml:space="preserve">, </w:t>
      </w:r>
      <w:proofErr w:type="spellStart"/>
      <w:r>
        <w:t>advanced</w:t>
      </w:r>
      <w:proofErr w:type="spellEnd"/>
      <w:r>
        <w:t xml:space="preserve"> </w:t>
      </w:r>
      <w:proofErr w:type="spellStart"/>
      <w:r>
        <w:t>optical</w:t>
      </w:r>
      <w:proofErr w:type="spellEnd"/>
      <w:r>
        <w:t xml:space="preserve"> and </w:t>
      </w:r>
      <w:proofErr w:type="spellStart"/>
      <w:r>
        <w:t>microwave</w:t>
      </w:r>
      <w:proofErr w:type="spellEnd"/>
      <w:r>
        <w:t xml:space="preserve"> </w:t>
      </w:r>
      <w:proofErr w:type="spellStart"/>
      <w:r>
        <w:t>control</w:t>
      </w:r>
      <w:proofErr w:type="spellEnd"/>
      <w:r>
        <w:t xml:space="preserve"> systems, and </w:t>
      </w:r>
      <w:proofErr w:type="spellStart"/>
      <w:r>
        <w:t>sophisticated</w:t>
      </w:r>
      <w:proofErr w:type="spellEnd"/>
      <w:r>
        <w:t xml:space="preserve"> </w:t>
      </w:r>
      <w:proofErr w:type="spellStart"/>
      <w:r>
        <w:t>electronics</w:t>
      </w:r>
      <w:proofErr w:type="spellEnd"/>
      <w:r>
        <w:t xml:space="preserve">, </w:t>
      </w:r>
      <w:proofErr w:type="spellStart"/>
      <w:r>
        <w:t>both</w:t>
      </w:r>
      <w:proofErr w:type="spellEnd"/>
      <w:r>
        <w:t xml:space="preserve"> </w:t>
      </w:r>
      <w:proofErr w:type="spellStart"/>
      <w:r>
        <w:t>analogue</w:t>
      </w:r>
      <w:proofErr w:type="spellEnd"/>
      <w:r>
        <w:t xml:space="preserve"> and digital, as </w:t>
      </w:r>
      <w:proofErr w:type="spellStart"/>
      <w:r>
        <w:t>well</w:t>
      </w:r>
      <w:proofErr w:type="spellEnd"/>
      <w:r>
        <w:t xml:space="preserve"> as </w:t>
      </w:r>
      <w:proofErr w:type="spellStart"/>
      <w:r>
        <w:t>personnel</w:t>
      </w:r>
      <w:proofErr w:type="spellEnd"/>
      <w:r>
        <w:t xml:space="preserve"> </w:t>
      </w:r>
      <w:proofErr w:type="spellStart"/>
      <w:r>
        <w:t>to</w:t>
      </w:r>
      <w:proofErr w:type="spellEnd"/>
      <w:r>
        <w:t xml:space="preserve"> </w:t>
      </w:r>
      <w:proofErr w:type="spellStart"/>
      <w:r>
        <w:t>build</w:t>
      </w:r>
      <w:proofErr w:type="spellEnd"/>
      <w:r>
        <w:t xml:space="preserve"> and </w:t>
      </w:r>
      <w:proofErr w:type="spellStart"/>
      <w:r>
        <w:t>maintain</w:t>
      </w:r>
      <w:proofErr w:type="spellEnd"/>
      <w:r>
        <w:t xml:space="preserve"> </w:t>
      </w:r>
      <w:proofErr w:type="spellStart"/>
      <w:r>
        <w:t>this</w:t>
      </w:r>
      <w:proofErr w:type="spellEnd"/>
      <w:r>
        <w:t xml:space="preserve"> </w:t>
      </w:r>
      <w:proofErr w:type="spellStart"/>
      <w:r>
        <w:t>infrastructure</w:t>
      </w:r>
      <w:proofErr w:type="spellEnd"/>
      <w:r>
        <w:t xml:space="preserve">. To </w:t>
      </w:r>
      <w:proofErr w:type="spellStart"/>
      <w:r>
        <w:t>facilitate</w:t>
      </w:r>
      <w:proofErr w:type="spellEnd"/>
      <w:r>
        <w:t xml:space="preserve"> </w:t>
      </w:r>
      <w:proofErr w:type="spellStart"/>
      <w:r>
        <w:t>building</w:t>
      </w:r>
      <w:proofErr w:type="spellEnd"/>
      <w:r>
        <w:t xml:space="preserve"> new </w:t>
      </w:r>
      <w:proofErr w:type="spellStart"/>
      <w:r>
        <w:t>capacity</w:t>
      </w:r>
      <w:proofErr w:type="spellEnd"/>
      <w:r>
        <w:t xml:space="preserve"> and </w:t>
      </w:r>
      <w:proofErr w:type="spellStart"/>
      <w:r>
        <w:t>optimizing</w:t>
      </w:r>
      <w:proofErr w:type="spellEnd"/>
      <w:r>
        <w:t xml:space="preserve"> </w:t>
      </w:r>
      <w:proofErr w:type="spellStart"/>
      <w:r>
        <w:t>its</w:t>
      </w:r>
      <w:proofErr w:type="spellEnd"/>
      <w:r>
        <w:t xml:space="preserve"> </w:t>
      </w:r>
      <w:proofErr w:type="spellStart"/>
      <w:r>
        <w:t>use</w:t>
      </w:r>
      <w:proofErr w:type="spellEnd"/>
      <w:r>
        <w:t xml:space="preserve">, </w:t>
      </w:r>
      <w:proofErr w:type="spellStart"/>
      <w:r>
        <w:t>we</w:t>
      </w:r>
      <w:proofErr w:type="spellEnd"/>
      <w:r>
        <w:t xml:space="preserve"> </w:t>
      </w:r>
      <w:proofErr w:type="spellStart"/>
      <w:r>
        <w:t>propose</w:t>
      </w:r>
      <w:proofErr w:type="spellEnd"/>
      <w:r>
        <w:t xml:space="preserve"> </w:t>
      </w:r>
      <w:proofErr w:type="spellStart"/>
      <w:r>
        <w:t>that</w:t>
      </w:r>
      <w:proofErr w:type="spellEnd"/>
      <w:r>
        <w:t xml:space="preserve"> Quantum Technologies be part </w:t>
      </w:r>
      <w:proofErr w:type="spellStart"/>
      <w:r>
        <w:t>of</w:t>
      </w:r>
      <w:proofErr w:type="spellEnd"/>
      <w:r>
        <w:t xml:space="preserve"> VR-</w:t>
      </w:r>
      <w:proofErr w:type="spellStart"/>
      <w:r>
        <w:t>funded</w:t>
      </w:r>
      <w:proofErr w:type="spellEnd"/>
      <w:r>
        <w:t xml:space="preserve"> national </w:t>
      </w:r>
      <w:proofErr w:type="spellStart"/>
      <w:r>
        <w:t>infrastructure</w:t>
      </w:r>
      <w:proofErr w:type="spellEnd"/>
      <w:r>
        <w:t xml:space="preserve">. </w:t>
      </w:r>
      <w:proofErr w:type="spellStart"/>
      <w:r>
        <w:t>Such</w:t>
      </w:r>
      <w:proofErr w:type="spellEnd"/>
      <w:r>
        <w:t xml:space="preserve"> action </w:t>
      </w:r>
      <w:proofErr w:type="spellStart"/>
      <w:r>
        <w:t>will</w:t>
      </w:r>
      <w:proofErr w:type="spellEnd"/>
      <w:r>
        <w:t xml:space="preserve"> </w:t>
      </w:r>
      <w:proofErr w:type="spellStart"/>
      <w:r>
        <w:t>enable</w:t>
      </w:r>
      <w:proofErr w:type="spellEnd"/>
      <w:r>
        <w:t xml:space="preserve"> </w:t>
      </w:r>
      <w:proofErr w:type="spellStart"/>
      <w:r>
        <w:t>building</w:t>
      </w:r>
      <w:proofErr w:type="spellEnd"/>
      <w:r>
        <w:t xml:space="preserve"> a </w:t>
      </w:r>
      <w:proofErr w:type="spellStart"/>
      <w:r>
        <w:t>network</w:t>
      </w:r>
      <w:proofErr w:type="spellEnd"/>
      <w:r>
        <w:t xml:space="preserve"> </w:t>
      </w:r>
      <w:proofErr w:type="spellStart"/>
      <w:r>
        <w:t>to</w:t>
      </w:r>
      <w:proofErr w:type="spellEnd"/>
      <w:r>
        <w:t xml:space="preserve"> </w:t>
      </w:r>
      <w:proofErr w:type="spellStart"/>
      <w:r>
        <w:t>coordinate</w:t>
      </w:r>
      <w:proofErr w:type="spellEnd"/>
      <w:r>
        <w:t xml:space="preserve"> national investment in, </w:t>
      </w:r>
      <w:r>
        <w:lastRenderedPageBreak/>
        <w:t xml:space="preserve">and </w:t>
      </w:r>
      <w:proofErr w:type="spellStart"/>
      <w:r>
        <w:t>facilitate</w:t>
      </w:r>
      <w:proofErr w:type="spellEnd"/>
      <w:r>
        <w:t xml:space="preserve"> </w:t>
      </w:r>
      <w:proofErr w:type="spellStart"/>
      <w:r>
        <w:t>collaborative</w:t>
      </w:r>
      <w:proofErr w:type="spellEnd"/>
      <w:r>
        <w:t xml:space="preserve"> </w:t>
      </w:r>
      <w:proofErr w:type="spellStart"/>
      <w:r>
        <w:t>usage</w:t>
      </w:r>
      <w:proofErr w:type="spellEnd"/>
      <w:r>
        <w:t xml:space="preserve"> </w:t>
      </w:r>
      <w:proofErr w:type="spellStart"/>
      <w:r>
        <w:t>of</w:t>
      </w:r>
      <w:proofErr w:type="spellEnd"/>
      <w:r>
        <w:t xml:space="preserve"> a </w:t>
      </w:r>
      <w:proofErr w:type="spellStart"/>
      <w:r>
        <w:t>shared</w:t>
      </w:r>
      <w:proofErr w:type="spellEnd"/>
      <w:r>
        <w:t xml:space="preserve"> and distributed </w:t>
      </w:r>
      <w:proofErr w:type="spellStart"/>
      <w:r>
        <w:t>infrastructure</w:t>
      </w:r>
      <w:proofErr w:type="spellEnd"/>
      <w:r>
        <w:t xml:space="preserve"> for quantum </w:t>
      </w:r>
      <w:proofErr w:type="spellStart"/>
      <w:r>
        <w:t>technologies</w:t>
      </w:r>
      <w:proofErr w:type="spellEnd"/>
      <w:r>
        <w:t>.”</w:t>
      </w:r>
    </w:p>
    <w:p w14:paraId="1B37EDFF" w14:textId="77777777" w:rsidR="00FC7FF9" w:rsidRDefault="00FC7FF9" w:rsidP="00B30929">
      <w:pPr>
        <w:pStyle w:val="BodyText"/>
        <w:spacing w:after="0"/>
        <w:ind w:right="623"/>
      </w:pPr>
      <w:r>
        <w:t xml:space="preserve">Tänkta parter: </w:t>
      </w:r>
    </w:p>
    <w:p w14:paraId="4BB2104D" w14:textId="77777777" w:rsidR="006F5CAE" w:rsidRDefault="006F5CAE" w:rsidP="00B30929">
      <w:pPr>
        <w:pStyle w:val="BodyText"/>
        <w:spacing w:after="0"/>
        <w:ind w:right="623"/>
      </w:pPr>
      <w:r>
        <w:t xml:space="preserve">KTH och SU: David Haviland, </w:t>
      </w:r>
      <w:r w:rsidRPr="006F5CAE">
        <w:t xml:space="preserve">Mohammed </w:t>
      </w:r>
      <w:proofErr w:type="spellStart"/>
      <w:r w:rsidRPr="006F5CAE">
        <w:t>Bourennane</w:t>
      </w:r>
      <w:proofErr w:type="spellEnd"/>
      <w:r w:rsidRPr="006F5CAE">
        <w:t xml:space="preserve">, Valery </w:t>
      </w:r>
      <w:proofErr w:type="spellStart"/>
      <w:r w:rsidRPr="006F5CAE">
        <w:t>Zwiller</w:t>
      </w:r>
      <w:proofErr w:type="spellEnd"/>
      <w:r w:rsidRPr="006F5CAE">
        <w:t xml:space="preserve">, Markus </w:t>
      </w:r>
      <w:proofErr w:type="spellStart"/>
      <w:r w:rsidRPr="006F5CAE">
        <w:t>Hennrich</w:t>
      </w:r>
      <w:proofErr w:type="spellEnd"/>
    </w:p>
    <w:p w14:paraId="09282A73" w14:textId="77777777" w:rsidR="00430A2F" w:rsidRDefault="00430A2F" w:rsidP="00B30929">
      <w:pPr>
        <w:pStyle w:val="BodyText"/>
        <w:spacing w:after="0"/>
        <w:ind w:right="623"/>
      </w:pPr>
      <w:r>
        <w:t xml:space="preserve">Chalmers: </w:t>
      </w:r>
      <w:r w:rsidRPr="00430A2F">
        <w:t xml:space="preserve">Per </w:t>
      </w:r>
      <w:proofErr w:type="spellStart"/>
      <w:r w:rsidRPr="00430A2F">
        <w:t>Delsing</w:t>
      </w:r>
      <w:proofErr w:type="spellEnd"/>
      <w:r w:rsidRPr="00430A2F">
        <w:t xml:space="preserve">, </w:t>
      </w:r>
      <w:proofErr w:type="spellStart"/>
      <w:r w:rsidRPr="00430A2F">
        <w:t>Floriana</w:t>
      </w:r>
      <w:proofErr w:type="spellEnd"/>
      <w:r w:rsidRPr="00430A2F">
        <w:t xml:space="preserve"> Lombardi, </w:t>
      </w:r>
      <w:proofErr w:type="spellStart"/>
      <w:r w:rsidRPr="00430A2F">
        <w:t>Sergey</w:t>
      </w:r>
      <w:proofErr w:type="spellEnd"/>
      <w:r w:rsidRPr="00430A2F">
        <w:t xml:space="preserve"> </w:t>
      </w:r>
      <w:proofErr w:type="spellStart"/>
      <w:r w:rsidRPr="00430A2F">
        <w:t>Kubatkin</w:t>
      </w:r>
      <w:proofErr w:type="spellEnd"/>
      <w:r w:rsidRPr="00430A2F">
        <w:t>, Dag Winkler</w:t>
      </w:r>
    </w:p>
    <w:p w14:paraId="64F13466" w14:textId="77777777" w:rsidR="00AD202E" w:rsidRDefault="00430A2F" w:rsidP="00B30929">
      <w:pPr>
        <w:pStyle w:val="BodyText"/>
        <w:spacing w:after="0"/>
        <w:ind w:right="623"/>
      </w:pPr>
      <w:r>
        <w:t xml:space="preserve">LU: </w:t>
      </w:r>
      <w:r w:rsidRPr="00430A2F">
        <w:t xml:space="preserve">Heiner Linke, Stefan </w:t>
      </w:r>
      <w:proofErr w:type="spellStart"/>
      <w:r w:rsidRPr="00430A2F">
        <w:t>Kröll</w:t>
      </w:r>
      <w:proofErr w:type="spellEnd"/>
      <w:r w:rsidRPr="00430A2F">
        <w:t xml:space="preserve">, Anders Mikkelsen, </w:t>
      </w:r>
      <w:proofErr w:type="spellStart"/>
      <w:r w:rsidRPr="00430A2F">
        <w:t>Tönu</w:t>
      </w:r>
      <w:proofErr w:type="spellEnd"/>
      <w:r w:rsidRPr="00430A2F">
        <w:t xml:space="preserve"> </w:t>
      </w:r>
      <w:proofErr w:type="spellStart"/>
      <w:r w:rsidRPr="00430A2F">
        <w:t>Pullerits</w:t>
      </w:r>
      <w:proofErr w:type="spellEnd"/>
      <w:r w:rsidRPr="00430A2F">
        <w:t>.</w:t>
      </w:r>
    </w:p>
    <w:p w14:paraId="147416DB" w14:textId="77777777" w:rsidR="006010A8" w:rsidRDefault="006010A8" w:rsidP="00B30929">
      <w:pPr>
        <w:pStyle w:val="BodyText"/>
        <w:spacing w:after="0"/>
        <w:ind w:right="623"/>
      </w:pPr>
    </w:p>
    <w:p w14:paraId="449D9551" w14:textId="77777777" w:rsidR="006010A8" w:rsidRPr="006F5CAE" w:rsidRDefault="006010A8" w:rsidP="00B30929">
      <w:pPr>
        <w:pStyle w:val="BodyText"/>
        <w:spacing w:after="0"/>
        <w:ind w:right="623"/>
      </w:pPr>
      <w:r>
        <w:t xml:space="preserve">Kontaktperson: David Haviland, </w:t>
      </w:r>
      <w:hyperlink r:id="rId13" w:history="1">
        <w:r>
          <w:rPr>
            <w:rStyle w:val="Hyperlink"/>
          </w:rPr>
          <w:t>haviland@nanophys.kth.se</w:t>
        </w:r>
      </w:hyperlink>
    </w:p>
    <w:p w14:paraId="082F9AF2" w14:textId="77777777" w:rsidR="0034118F" w:rsidRDefault="0034118F" w:rsidP="00B30929">
      <w:pPr>
        <w:pStyle w:val="Heading2"/>
        <w:ind w:right="623"/>
      </w:pPr>
    </w:p>
    <w:p w14:paraId="6C762262" w14:textId="77777777" w:rsidR="00AD202E" w:rsidRDefault="00AD202E" w:rsidP="00B30929">
      <w:pPr>
        <w:pStyle w:val="Heading2"/>
        <w:ind w:right="623"/>
      </w:pPr>
      <w:bookmarkStart w:id="8" w:name="_Toc421108492"/>
      <w:proofErr w:type="spellStart"/>
      <w:r>
        <w:t>Infrastructure</w:t>
      </w:r>
      <w:proofErr w:type="spellEnd"/>
      <w:r>
        <w:t xml:space="preserve"> for ultrafast </w:t>
      </w:r>
      <w:proofErr w:type="spellStart"/>
      <w:r>
        <w:t>time</w:t>
      </w:r>
      <w:proofErr w:type="spellEnd"/>
      <w:r>
        <w:t>- and space-</w:t>
      </w:r>
      <w:proofErr w:type="spellStart"/>
      <w:r>
        <w:t>resolved</w:t>
      </w:r>
      <w:proofErr w:type="spellEnd"/>
      <w:r>
        <w:t xml:space="preserve"> </w:t>
      </w:r>
      <w:proofErr w:type="spellStart"/>
      <w:r>
        <w:t>spectroscopy</w:t>
      </w:r>
      <w:proofErr w:type="spellEnd"/>
      <w:r>
        <w:t xml:space="preserve"> from </w:t>
      </w:r>
      <w:proofErr w:type="spellStart"/>
      <w:r>
        <w:t>THz</w:t>
      </w:r>
      <w:proofErr w:type="spellEnd"/>
      <w:r>
        <w:t xml:space="preserve"> </w:t>
      </w:r>
      <w:proofErr w:type="spellStart"/>
      <w:r>
        <w:t>to</w:t>
      </w:r>
      <w:proofErr w:type="spellEnd"/>
      <w:r>
        <w:t xml:space="preserve"> X-</w:t>
      </w:r>
      <w:proofErr w:type="spellStart"/>
      <w:r>
        <w:t>rays</w:t>
      </w:r>
      <w:bookmarkEnd w:id="8"/>
      <w:proofErr w:type="spellEnd"/>
    </w:p>
    <w:p w14:paraId="0B120144" w14:textId="13766EB7" w:rsidR="00A90561" w:rsidRDefault="00AD202E" w:rsidP="00B30929">
      <w:pPr>
        <w:pStyle w:val="BodyText"/>
        <w:ind w:right="623"/>
      </w:pPr>
      <w:r>
        <w:t xml:space="preserve">Ett initiativ som </w:t>
      </w:r>
      <w:r w:rsidR="00A90561">
        <w:t>befinner sig i ett relativt tidigt stadi</w:t>
      </w:r>
      <w:r w:rsidR="00B30929">
        <w:t>um</w:t>
      </w:r>
      <w:r w:rsidR="00A90561">
        <w:t>.</w:t>
      </w:r>
    </w:p>
    <w:p w14:paraId="4CC74453" w14:textId="67CF5616" w:rsidR="00F5426E" w:rsidRDefault="0034118F" w:rsidP="00B30929">
      <w:pPr>
        <w:pStyle w:val="BodyText"/>
        <w:ind w:right="623"/>
        <w:rPr>
          <w:lang w:val="en-GB"/>
        </w:rPr>
      </w:pPr>
      <w:r>
        <w:rPr>
          <w:lang w:val="en-GB"/>
        </w:rPr>
        <w:t>“</w:t>
      </w:r>
      <w:r w:rsidR="00A90561" w:rsidRPr="00A90561">
        <w:rPr>
          <w:lang w:val="en-GB"/>
        </w:rPr>
        <w:t xml:space="preserve">Recent advances in new functional material research increasingly rely on understanding and exploiting local structural (and conformation) modifications oftentimes occurring on ultrashort time scales. Investigation of such processes requires application of some form of time-resolved pump-probe techniques coupled with the methods for resolving spatial information on the atomic scale like x-rays, XUV, electron beams, AFM. Building up capability of such experimental measurements requires expertise in both the ultrashort multispectral laser technologies and high-spectral resolution techniques. This is normally not available in a single group or a single institution. The investment required for acquiring all the required expertise for developing unique experiments which could be readily tailored for new challenges, is simply too high for any single group in Sweden. The result is that research groups end up building up experiments using generic equipment which strongly limits the scope of possible experiments and, in the long run, the impact of research. This is due to the fact that everyone else around the world has access to the same generic boxes with limited capability for customizing them. Infrastructure type project would allow leveraging the expertise available in different groups in ultrashort coherent sources from XUV (A. </w:t>
      </w:r>
      <w:proofErr w:type="spellStart"/>
      <w:r w:rsidR="00A90561" w:rsidRPr="00A90561">
        <w:rPr>
          <w:lang w:val="en-GB"/>
        </w:rPr>
        <w:t>L’Huillier</w:t>
      </w:r>
      <w:proofErr w:type="spellEnd"/>
      <w:r w:rsidR="00A90561" w:rsidRPr="00A90561">
        <w:rPr>
          <w:lang w:val="en-GB"/>
        </w:rPr>
        <w:t xml:space="preserve">, C. Arnold, Lund University) to mid and far-infrared (V. </w:t>
      </w:r>
      <w:proofErr w:type="spellStart"/>
      <w:r w:rsidR="00A90561" w:rsidRPr="00A90561">
        <w:rPr>
          <w:lang w:val="en-GB"/>
        </w:rPr>
        <w:t>Pasiskevicius</w:t>
      </w:r>
      <w:proofErr w:type="spellEnd"/>
      <w:r w:rsidR="00A90561" w:rsidRPr="00A90561">
        <w:rPr>
          <w:lang w:val="en-GB"/>
        </w:rPr>
        <w:t xml:space="preserve">, KTH, L. </w:t>
      </w:r>
      <w:proofErr w:type="spellStart"/>
      <w:r w:rsidR="00A90561" w:rsidRPr="00A90561">
        <w:rPr>
          <w:lang w:val="en-GB"/>
        </w:rPr>
        <w:t>Veisz</w:t>
      </w:r>
      <w:proofErr w:type="spellEnd"/>
      <w:r w:rsidR="00A90561" w:rsidRPr="00A90561">
        <w:rPr>
          <w:lang w:val="en-GB"/>
        </w:rPr>
        <w:t xml:space="preserve"> , </w:t>
      </w:r>
      <w:proofErr w:type="spellStart"/>
      <w:r w:rsidR="00A90561" w:rsidRPr="00A90561">
        <w:rPr>
          <w:lang w:val="en-GB"/>
        </w:rPr>
        <w:t>Umeå</w:t>
      </w:r>
      <w:proofErr w:type="spellEnd"/>
      <w:r w:rsidR="00A90561" w:rsidRPr="00A90561">
        <w:rPr>
          <w:lang w:val="en-GB"/>
        </w:rPr>
        <w:t xml:space="preserve"> University), engineered nonlinear materials (F. Laurell, C. </w:t>
      </w:r>
      <w:proofErr w:type="spellStart"/>
      <w:r w:rsidR="00A90561" w:rsidRPr="00A90561">
        <w:rPr>
          <w:lang w:val="en-GB"/>
        </w:rPr>
        <w:t>Canalias</w:t>
      </w:r>
      <w:proofErr w:type="spellEnd"/>
      <w:r w:rsidR="00A90561" w:rsidRPr="00A90561">
        <w:rPr>
          <w:lang w:val="en-GB"/>
        </w:rPr>
        <w:t xml:space="preserve">, KTH, </w:t>
      </w:r>
      <w:proofErr w:type="spellStart"/>
      <w:r w:rsidR="00A90561" w:rsidRPr="00A90561">
        <w:rPr>
          <w:lang w:val="en-GB"/>
        </w:rPr>
        <w:t>Lourdudoss</w:t>
      </w:r>
      <w:proofErr w:type="spellEnd"/>
      <w:r w:rsidR="00A90561" w:rsidRPr="00A90561">
        <w:rPr>
          <w:lang w:val="en-GB"/>
        </w:rPr>
        <w:t xml:space="preserve">, KTH), AFM/STM (D. Haviland, KTH), space and time resolve luminescence measurements (S. Marcinkevicius, KTH), angle-resolved electron spectroscopy (O. Tjernberg, KTH) and better targeting investments in order to build unique spectroscopy platforms. Moreover, there is mutual collaboration interest and VR-encouragement for closer collaboration in this area with XFEL in Hamburg (F. </w:t>
      </w:r>
      <w:proofErr w:type="spellStart"/>
      <w:r w:rsidR="00A90561" w:rsidRPr="00A90561">
        <w:rPr>
          <w:lang w:val="en-GB"/>
        </w:rPr>
        <w:t>Kaertner</w:t>
      </w:r>
      <w:proofErr w:type="spellEnd"/>
      <w:r w:rsidR="00A90561" w:rsidRPr="00A90561">
        <w:rPr>
          <w:lang w:val="en-GB"/>
        </w:rPr>
        <w:t xml:space="preserve">, I. </w:t>
      </w:r>
      <w:proofErr w:type="spellStart"/>
      <w:r w:rsidR="00A90561" w:rsidRPr="00A90561">
        <w:rPr>
          <w:lang w:val="en-GB"/>
        </w:rPr>
        <w:t>Hartl</w:t>
      </w:r>
      <w:proofErr w:type="spellEnd"/>
      <w:r w:rsidR="00A90561" w:rsidRPr="00A90561">
        <w:rPr>
          <w:lang w:val="en-GB"/>
        </w:rPr>
        <w:t>), who are interested in our expertise in nonlinear optical materials for ultrashort optical pulse generators used at X-FEL facility.</w:t>
      </w:r>
      <w:r>
        <w:rPr>
          <w:lang w:val="en-GB"/>
        </w:rPr>
        <w:t>”</w:t>
      </w:r>
    </w:p>
    <w:p w14:paraId="13950DF4" w14:textId="77777777" w:rsidR="00A804DF" w:rsidRDefault="00A804DF" w:rsidP="00B30929">
      <w:pPr>
        <w:ind w:right="623"/>
        <w:rPr>
          <w:lang w:val="en-GB"/>
        </w:rPr>
      </w:pPr>
    </w:p>
    <w:p w14:paraId="58450F66" w14:textId="77777777" w:rsidR="00B30929" w:rsidRDefault="00B30929" w:rsidP="00B30929">
      <w:pPr>
        <w:ind w:right="623"/>
        <w:rPr>
          <w:lang w:val="en-GB"/>
        </w:rPr>
      </w:pPr>
    </w:p>
    <w:p w14:paraId="52BAB446" w14:textId="77777777" w:rsidR="00574F37" w:rsidRDefault="00574F37">
      <w:pPr>
        <w:rPr>
          <w:rFonts w:asciiTheme="majorHAnsi" w:eastAsiaTheme="majorEastAsia" w:hAnsiTheme="majorHAnsi" w:cstheme="majorBidi"/>
          <w:b/>
          <w:bCs/>
          <w:sz w:val="24"/>
          <w:szCs w:val="28"/>
          <w:lang w:val="en-GB"/>
        </w:rPr>
      </w:pPr>
      <w:r>
        <w:rPr>
          <w:lang w:val="en-GB"/>
        </w:rPr>
        <w:br w:type="page"/>
      </w:r>
    </w:p>
    <w:p w14:paraId="6C6C9A03" w14:textId="5075D008" w:rsidR="00A804DF" w:rsidRPr="004F5713" w:rsidRDefault="00262504" w:rsidP="00B30929">
      <w:pPr>
        <w:pStyle w:val="Heading1"/>
        <w:ind w:right="623"/>
        <w:rPr>
          <w:lang w:val="en-GB"/>
        </w:rPr>
      </w:pPr>
      <w:bookmarkStart w:id="9" w:name="_Toc421108493"/>
      <w:proofErr w:type="spellStart"/>
      <w:r>
        <w:rPr>
          <w:lang w:val="en-GB"/>
        </w:rPr>
        <w:lastRenderedPageBreak/>
        <w:t>Nationella</w:t>
      </w:r>
      <w:proofErr w:type="spellEnd"/>
      <w:r>
        <w:rPr>
          <w:lang w:val="en-GB"/>
        </w:rPr>
        <w:t xml:space="preserve"> </w:t>
      </w:r>
      <w:proofErr w:type="spellStart"/>
      <w:r>
        <w:rPr>
          <w:lang w:val="en-GB"/>
        </w:rPr>
        <w:t>i</w:t>
      </w:r>
      <w:r w:rsidR="008E1377" w:rsidRPr="004F5713">
        <w:rPr>
          <w:lang w:val="en-GB"/>
        </w:rPr>
        <w:t>nfrastrukturer</w:t>
      </w:r>
      <w:proofErr w:type="spellEnd"/>
      <w:r w:rsidR="008E1377" w:rsidRPr="004F5713">
        <w:rPr>
          <w:lang w:val="en-GB"/>
        </w:rPr>
        <w:t xml:space="preserve"> </w:t>
      </w:r>
      <w:proofErr w:type="spellStart"/>
      <w:r w:rsidR="008E1377" w:rsidRPr="004F5713">
        <w:rPr>
          <w:lang w:val="en-GB"/>
        </w:rPr>
        <w:t>som</w:t>
      </w:r>
      <w:proofErr w:type="spellEnd"/>
      <w:r w:rsidR="008E1377" w:rsidRPr="004F5713">
        <w:rPr>
          <w:lang w:val="en-GB"/>
        </w:rPr>
        <w:t xml:space="preserve"> </w:t>
      </w:r>
      <w:proofErr w:type="spellStart"/>
      <w:r w:rsidR="00CA4F00">
        <w:rPr>
          <w:lang w:val="en-GB"/>
        </w:rPr>
        <w:t>bör</w:t>
      </w:r>
      <w:proofErr w:type="spellEnd"/>
      <w:r w:rsidR="00CA4F00">
        <w:rPr>
          <w:lang w:val="en-GB"/>
        </w:rPr>
        <w:t xml:space="preserve"> </w:t>
      </w:r>
      <w:proofErr w:type="spellStart"/>
      <w:r w:rsidR="00CA4F00">
        <w:rPr>
          <w:lang w:val="en-GB"/>
        </w:rPr>
        <w:t>komma</w:t>
      </w:r>
      <w:proofErr w:type="spellEnd"/>
      <w:r w:rsidR="00CA4F00">
        <w:rPr>
          <w:lang w:val="en-GB"/>
        </w:rPr>
        <w:t xml:space="preserve"> med I </w:t>
      </w:r>
      <w:proofErr w:type="spellStart"/>
      <w:r w:rsidR="00CA4F00">
        <w:rPr>
          <w:lang w:val="en-GB"/>
        </w:rPr>
        <w:t>Guiden</w:t>
      </w:r>
      <w:proofErr w:type="spellEnd"/>
      <w:r w:rsidR="00CA4F00">
        <w:rPr>
          <w:lang w:val="en-GB"/>
        </w:rPr>
        <w:t xml:space="preserve">, men </w:t>
      </w:r>
      <w:proofErr w:type="spellStart"/>
      <w:r w:rsidR="00CA4F00">
        <w:rPr>
          <w:lang w:val="en-GB"/>
        </w:rPr>
        <w:t>som</w:t>
      </w:r>
      <w:proofErr w:type="spellEnd"/>
      <w:r w:rsidR="00CA4F00">
        <w:rPr>
          <w:lang w:val="en-GB"/>
        </w:rPr>
        <w:t xml:space="preserve"> </w:t>
      </w:r>
      <w:proofErr w:type="spellStart"/>
      <w:r w:rsidR="008E1377" w:rsidRPr="004F5713">
        <w:rPr>
          <w:lang w:val="en-GB"/>
        </w:rPr>
        <w:t>avser</w:t>
      </w:r>
      <w:proofErr w:type="spellEnd"/>
      <w:r w:rsidR="008E1377" w:rsidRPr="004F5713">
        <w:rPr>
          <w:lang w:val="en-GB"/>
        </w:rPr>
        <w:t xml:space="preserve"> </w:t>
      </w:r>
      <w:proofErr w:type="spellStart"/>
      <w:r w:rsidR="008E1377" w:rsidRPr="004F5713">
        <w:rPr>
          <w:lang w:val="en-GB"/>
        </w:rPr>
        <w:t>söka</w:t>
      </w:r>
      <w:proofErr w:type="spellEnd"/>
      <w:r w:rsidR="008E1377" w:rsidRPr="004F5713">
        <w:rPr>
          <w:lang w:val="en-GB"/>
        </w:rPr>
        <w:t xml:space="preserve"> </w:t>
      </w:r>
      <w:proofErr w:type="spellStart"/>
      <w:r w:rsidR="008E1377" w:rsidRPr="004F5713">
        <w:rPr>
          <w:lang w:val="en-GB"/>
        </w:rPr>
        <w:t>finansiering</w:t>
      </w:r>
      <w:proofErr w:type="spellEnd"/>
      <w:r w:rsidR="008E1377" w:rsidRPr="004F5713">
        <w:rPr>
          <w:lang w:val="en-GB"/>
        </w:rPr>
        <w:t xml:space="preserve"> </w:t>
      </w:r>
      <w:proofErr w:type="spellStart"/>
      <w:r w:rsidR="008E1377" w:rsidRPr="004F5713">
        <w:rPr>
          <w:lang w:val="en-GB"/>
        </w:rPr>
        <w:t>senare</w:t>
      </w:r>
      <w:proofErr w:type="spellEnd"/>
      <w:r w:rsidR="008E1377" w:rsidRPr="004F5713">
        <w:rPr>
          <w:lang w:val="en-GB"/>
        </w:rPr>
        <w:t xml:space="preserve"> </w:t>
      </w:r>
      <w:proofErr w:type="spellStart"/>
      <w:r w:rsidR="008E1377" w:rsidRPr="004F5713">
        <w:rPr>
          <w:lang w:val="en-GB"/>
        </w:rPr>
        <w:t>än</w:t>
      </w:r>
      <w:proofErr w:type="spellEnd"/>
      <w:r w:rsidR="008E1377" w:rsidRPr="004F5713">
        <w:rPr>
          <w:lang w:val="en-GB"/>
        </w:rPr>
        <w:t xml:space="preserve"> 2017</w:t>
      </w:r>
      <w:bookmarkEnd w:id="9"/>
    </w:p>
    <w:p w14:paraId="1D5D5CC1" w14:textId="77777777" w:rsidR="0002025B" w:rsidRDefault="0002025B" w:rsidP="00B30929">
      <w:pPr>
        <w:pStyle w:val="Heading2"/>
        <w:ind w:right="623"/>
      </w:pPr>
    </w:p>
    <w:p w14:paraId="21BC0EBD" w14:textId="77777777" w:rsidR="008E1377" w:rsidRDefault="00545699" w:rsidP="00B30929">
      <w:pPr>
        <w:pStyle w:val="Heading2"/>
        <w:ind w:right="623"/>
      </w:pPr>
      <w:bookmarkStart w:id="10" w:name="_Toc421108494"/>
      <w:r>
        <w:t xml:space="preserve">PDC – </w:t>
      </w:r>
      <w:r w:rsidR="008E1377">
        <w:t>Högprestandaberäkningar</w:t>
      </w:r>
      <w:bookmarkEnd w:id="10"/>
    </w:p>
    <w:p w14:paraId="468E2C18" w14:textId="77777777" w:rsidR="008E1377" w:rsidRDefault="008E1377" w:rsidP="00B30929">
      <w:pPr>
        <w:pStyle w:val="BodyText"/>
        <w:ind w:right="623"/>
        <w:contextualSpacing/>
      </w:pPr>
      <w:r>
        <w:rPr>
          <w:i/>
          <w:iCs/>
        </w:rPr>
        <w:t xml:space="preserve">PDC Center for </w:t>
      </w:r>
      <w:proofErr w:type="spellStart"/>
      <w:r>
        <w:rPr>
          <w:i/>
          <w:iCs/>
        </w:rPr>
        <w:t>HighPerformance</w:t>
      </w:r>
      <w:proofErr w:type="spellEnd"/>
      <w:r>
        <w:rPr>
          <w:i/>
          <w:iCs/>
        </w:rPr>
        <w:t xml:space="preserve"> </w:t>
      </w:r>
      <w:proofErr w:type="spellStart"/>
      <w:r>
        <w:rPr>
          <w:i/>
          <w:iCs/>
        </w:rPr>
        <w:t>Computing</w:t>
      </w:r>
      <w:proofErr w:type="spellEnd"/>
      <w:r>
        <w:rPr>
          <w:i/>
          <w:iCs/>
        </w:rPr>
        <w:t xml:space="preserve"> </w:t>
      </w:r>
      <w:r>
        <w:t xml:space="preserve">har den största sammanlagda kapaciteten för högprestandaberäkningar i landet. </w:t>
      </w:r>
    </w:p>
    <w:p w14:paraId="573E80D7" w14:textId="77777777" w:rsidR="008E1377" w:rsidRDefault="008E1377" w:rsidP="00B30929">
      <w:pPr>
        <w:pStyle w:val="BodyText"/>
        <w:ind w:right="623"/>
        <w:contextualSpacing/>
      </w:pPr>
    </w:p>
    <w:p w14:paraId="13E19612" w14:textId="77777777" w:rsidR="008E1377" w:rsidRDefault="008E1377" w:rsidP="00B30929">
      <w:pPr>
        <w:pStyle w:val="BodyText"/>
        <w:ind w:right="623"/>
        <w:contextualSpacing/>
      </w:pPr>
      <w:r>
        <w:t>Den nyligen installerade superdatorn Beskow kommer att behöva</w:t>
      </w:r>
      <w:r w:rsidR="00545699">
        <w:t xml:space="preserve"> </w:t>
      </w:r>
      <w:r>
        <w:t xml:space="preserve">ersättas om ca 4 år. Då behövs en nyinvestering i storleksordningen 160 -200 Mkr för inköp och drift under ca fyra år. </w:t>
      </w:r>
      <w:r w:rsidRPr="00545699">
        <w:t xml:space="preserve">Processen för efterföljaren till Beskow har redan startat genom VR-SNIC och är därigenom känd för VR. </w:t>
      </w:r>
    </w:p>
    <w:p w14:paraId="5046DB79" w14:textId="77777777" w:rsidR="00545699" w:rsidRDefault="00545699" w:rsidP="00B30929">
      <w:pPr>
        <w:pStyle w:val="BodyText"/>
        <w:ind w:right="623"/>
        <w:contextualSpacing/>
        <w:rPr>
          <w:i/>
        </w:rPr>
      </w:pPr>
    </w:p>
    <w:p w14:paraId="495E8DDE" w14:textId="77777777" w:rsidR="008E1377" w:rsidRDefault="008E1377" w:rsidP="00B30929">
      <w:pPr>
        <w:pStyle w:val="BodyText"/>
        <w:ind w:right="623"/>
        <w:contextualSpacing/>
      </w:pPr>
      <w:r>
        <w:t xml:space="preserve">Kontakt: </w:t>
      </w:r>
      <w:r w:rsidRPr="00F028B8">
        <w:t xml:space="preserve">Erwin Laure </w:t>
      </w:r>
      <w:r>
        <w:t xml:space="preserve">CSC- PDC </w:t>
      </w:r>
      <w:hyperlink r:id="rId14" w:history="1">
        <w:r w:rsidRPr="0006640A">
          <w:rPr>
            <w:rStyle w:val="Hyperlink"/>
          </w:rPr>
          <w:t>erwinl@pdc.kth.se</w:t>
        </w:r>
      </w:hyperlink>
    </w:p>
    <w:p w14:paraId="4B75607A" w14:textId="77777777" w:rsidR="00CA4F00" w:rsidRDefault="00CA4F00" w:rsidP="00B30929">
      <w:pPr>
        <w:pStyle w:val="Heading2"/>
        <w:ind w:right="623"/>
        <w:rPr>
          <w:lang w:val="en-GB"/>
        </w:rPr>
      </w:pPr>
    </w:p>
    <w:p w14:paraId="7103188F" w14:textId="77777777" w:rsidR="00CA4F00" w:rsidRPr="00F87236" w:rsidRDefault="00CA4F00" w:rsidP="00B30929">
      <w:pPr>
        <w:pStyle w:val="Heading2"/>
        <w:ind w:right="623"/>
        <w:rPr>
          <w:lang w:val="en-GB"/>
        </w:rPr>
      </w:pPr>
      <w:bookmarkStart w:id="11" w:name="_Toc421108495"/>
      <w:proofErr w:type="spellStart"/>
      <w:r w:rsidRPr="00446216">
        <w:rPr>
          <w:lang w:val="en-GB"/>
        </w:rPr>
        <w:t>Odqvist</w:t>
      </w:r>
      <w:proofErr w:type="spellEnd"/>
      <w:r w:rsidRPr="006E6407">
        <w:rPr>
          <w:lang w:val="en-GB"/>
        </w:rPr>
        <w:t xml:space="preserve"> La</w:t>
      </w:r>
      <w:r w:rsidRPr="00C31274">
        <w:rPr>
          <w:bCs w:val="0"/>
          <w:lang w:val="en-GB"/>
        </w:rPr>
        <w:t>bo</w:t>
      </w:r>
      <w:r w:rsidRPr="00C31274">
        <w:rPr>
          <w:i/>
          <w:lang w:val="en-GB"/>
        </w:rPr>
        <w:t>r</w:t>
      </w:r>
      <w:r w:rsidRPr="006E6407">
        <w:rPr>
          <w:lang w:val="en-GB"/>
        </w:rPr>
        <w:t>atory for Experimental Mechanics</w:t>
      </w:r>
      <w:bookmarkEnd w:id="11"/>
    </w:p>
    <w:p w14:paraId="1ED229E6" w14:textId="77777777" w:rsidR="00030DAD" w:rsidRPr="003E64D2" w:rsidRDefault="00CA4F00" w:rsidP="003E64D2">
      <w:pPr>
        <w:pStyle w:val="BodyText"/>
        <w:ind w:right="623"/>
      </w:pPr>
      <w:r w:rsidRPr="003E64D2">
        <w:t xml:space="preserve">The Odqvist </w:t>
      </w:r>
      <w:proofErr w:type="spellStart"/>
      <w:r w:rsidRPr="003E64D2">
        <w:t>Laboratory</w:t>
      </w:r>
      <w:proofErr w:type="spellEnd"/>
      <w:r w:rsidRPr="003E64D2">
        <w:t xml:space="preserve"> for Experimental </w:t>
      </w:r>
      <w:proofErr w:type="spellStart"/>
      <w:r w:rsidRPr="003E64D2">
        <w:t>Mechanics</w:t>
      </w:r>
      <w:proofErr w:type="spellEnd"/>
      <w:r w:rsidRPr="003E64D2">
        <w:t xml:space="preserve"> at KTH is a world-leading infrastructure for advanced studies of Mechanics phenomena in solids and fluids. It includes the Fluid Physics Laboratory, the Marcus Wallenberg Laboratory (MWL) for Sound and Vibration Research, the Solid Mechanics Laboratory, as well as the Lig</w:t>
      </w:r>
      <w:r w:rsidR="00030DAD" w:rsidRPr="003E64D2">
        <w:t>htweight Structures Laboratory.</w:t>
      </w:r>
    </w:p>
    <w:p w14:paraId="7F9E3172" w14:textId="77777777" w:rsidR="00CA4F00" w:rsidRPr="003E64D2" w:rsidRDefault="00CA4F00" w:rsidP="003E64D2">
      <w:pPr>
        <w:pStyle w:val="BodyText"/>
        <w:ind w:right="623"/>
      </w:pPr>
      <w:r w:rsidRPr="003E64D2">
        <w:t xml:space="preserve">The Odqvist </w:t>
      </w:r>
      <w:proofErr w:type="spellStart"/>
      <w:r w:rsidRPr="003E64D2">
        <w:t>Laboratory</w:t>
      </w:r>
      <w:proofErr w:type="spellEnd"/>
      <w:r w:rsidRPr="003E64D2">
        <w:t xml:space="preserve"> houses </w:t>
      </w:r>
      <w:proofErr w:type="spellStart"/>
      <w:r w:rsidRPr="003E64D2">
        <w:t>several</w:t>
      </w:r>
      <w:proofErr w:type="spellEnd"/>
      <w:r w:rsidRPr="003E64D2">
        <w:t xml:space="preserve"> </w:t>
      </w:r>
      <w:proofErr w:type="spellStart"/>
      <w:r w:rsidRPr="003E64D2">
        <w:t>large</w:t>
      </w:r>
      <w:proofErr w:type="spellEnd"/>
      <w:r w:rsidRPr="003E64D2">
        <w:t xml:space="preserve"> and in some cases world-class facilities, such as e.g. the MTL wind tunnel, the acoustic laboratory of MWL, the CAPPI water laboratory and the solid mechanics and lightweight structures laboratories. Overall it is well equipped with state-of-the-art measurement equipment for fluid mechanics, acoustics and solid mechanics. The estimated total cost of building </w:t>
      </w:r>
      <w:proofErr w:type="spellStart"/>
      <w:r w:rsidRPr="003E64D2">
        <w:t>up</w:t>
      </w:r>
      <w:proofErr w:type="spellEnd"/>
      <w:r w:rsidRPr="003E64D2">
        <w:t xml:space="preserve"> an </w:t>
      </w:r>
      <w:proofErr w:type="spellStart"/>
      <w:r w:rsidRPr="003E64D2">
        <w:t>infrastructure</w:t>
      </w:r>
      <w:proofErr w:type="spellEnd"/>
      <w:r w:rsidRPr="003E64D2">
        <w:t xml:space="preserve"> </w:t>
      </w:r>
      <w:proofErr w:type="spellStart"/>
      <w:r w:rsidRPr="003E64D2">
        <w:t>similar</w:t>
      </w:r>
      <w:proofErr w:type="spellEnd"/>
      <w:r w:rsidRPr="003E64D2">
        <w:t xml:space="preserve"> </w:t>
      </w:r>
      <w:proofErr w:type="spellStart"/>
      <w:r w:rsidRPr="003E64D2">
        <w:t>to</w:t>
      </w:r>
      <w:proofErr w:type="spellEnd"/>
      <w:r w:rsidRPr="003E64D2">
        <w:t xml:space="preserve"> the Odqvist </w:t>
      </w:r>
      <w:proofErr w:type="spellStart"/>
      <w:r w:rsidRPr="003E64D2">
        <w:t>Laboratory</w:t>
      </w:r>
      <w:proofErr w:type="spellEnd"/>
      <w:r w:rsidRPr="003E64D2">
        <w:t xml:space="preserve"> is SEK 300 million. This estimate is based on the total value of fixed infrastructure such as wind tunnels, acoustics labs and labs for structural characterisation, as well as experimental measurement systems. </w:t>
      </w:r>
      <w:proofErr w:type="spellStart"/>
      <w:r w:rsidRPr="003E64D2">
        <w:t>Current</w:t>
      </w:r>
      <w:proofErr w:type="spellEnd"/>
      <w:r w:rsidRPr="003E64D2">
        <w:t xml:space="preserve"> </w:t>
      </w:r>
      <w:proofErr w:type="spellStart"/>
      <w:r w:rsidRPr="003E64D2">
        <w:t>larger</w:t>
      </w:r>
      <w:proofErr w:type="spellEnd"/>
      <w:r w:rsidRPr="003E64D2">
        <w:t xml:space="preserve"> research </w:t>
      </w:r>
      <w:proofErr w:type="spellStart"/>
      <w:r w:rsidRPr="003E64D2">
        <w:t>efforts</w:t>
      </w:r>
      <w:proofErr w:type="spellEnd"/>
      <w:r w:rsidRPr="003E64D2">
        <w:t xml:space="preserve"> </w:t>
      </w:r>
      <w:proofErr w:type="spellStart"/>
      <w:r w:rsidRPr="003E64D2">
        <w:t>within</w:t>
      </w:r>
      <w:proofErr w:type="spellEnd"/>
      <w:r w:rsidRPr="003E64D2">
        <w:t xml:space="preserve"> the Odqvist </w:t>
      </w:r>
      <w:proofErr w:type="spellStart"/>
      <w:r w:rsidRPr="003E64D2">
        <w:t>Laboratory</w:t>
      </w:r>
      <w:proofErr w:type="spellEnd"/>
      <w:r w:rsidRPr="003E64D2">
        <w:t xml:space="preserve"> </w:t>
      </w:r>
      <w:proofErr w:type="spellStart"/>
      <w:r w:rsidRPr="003E64D2">
        <w:t>are</w:t>
      </w:r>
      <w:proofErr w:type="spellEnd"/>
      <w:r w:rsidRPr="003E64D2">
        <w:t xml:space="preserve"> </w:t>
      </w:r>
      <w:proofErr w:type="spellStart"/>
      <w:r w:rsidRPr="003E64D2">
        <w:t>related</w:t>
      </w:r>
      <w:proofErr w:type="spellEnd"/>
      <w:r w:rsidRPr="003E64D2">
        <w:t xml:space="preserve"> </w:t>
      </w:r>
      <w:proofErr w:type="spellStart"/>
      <w:r w:rsidRPr="003E64D2">
        <w:t>to</w:t>
      </w:r>
      <w:proofErr w:type="spellEnd"/>
      <w:r w:rsidRPr="003E64D2">
        <w:t xml:space="preserve"> the Linné FLOW Centre, the Competence Centre for Gas Exchange (</w:t>
      </w:r>
      <w:proofErr w:type="spellStart"/>
      <w:r w:rsidRPr="003E64D2">
        <w:t>CCGEx</w:t>
      </w:r>
      <w:proofErr w:type="spellEnd"/>
      <w:r w:rsidRPr="003E64D2">
        <w:t xml:space="preserve">), Wallenberg Wood Science Centre (WWSC), ECO2 Center for </w:t>
      </w:r>
      <w:proofErr w:type="spellStart"/>
      <w:r w:rsidRPr="003E64D2">
        <w:t>Vehicle</w:t>
      </w:r>
      <w:proofErr w:type="spellEnd"/>
      <w:r w:rsidRPr="003E64D2">
        <w:t xml:space="preserve"> Design and </w:t>
      </w:r>
      <w:proofErr w:type="spellStart"/>
      <w:r w:rsidRPr="003E64D2">
        <w:t>BiMaC</w:t>
      </w:r>
      <w:proofErr w:type="spellEnd"/>
      <w:r w:rsidRPr="003E64D2">
        <w:t xml:space="preserve"> Innovation. </w:t>
      </w:r>
    </w:p>
    <w:p w14:paraId="72DBDAE5" w14:textId="4CA17C37" w:rsidR="00CA4F00" w:rsidRPr="003E64D2" w:rsidRDefault="00CA4F00" w:rsidP="003E64D2">
      <w:pPr>
        <w:pStyle w:val="BodyText"/>
        <w:ind w:right="623"/>
      </w:pPr>
      <w:r w:rsidRPr="003E64D2">
        <w:t xml:space="preserve">The research teams </w:t>
      </w:r>
      <w:proofErr w:type="spellStart"/>
      <w:r w:rsidRPr="003E64D2">
        <w:t>within</w:t>
      </w:r>
      <w:proofErr w:type="spellEnd"/>
      <w:r w:rsidRPr="003E64D2">
        <w:t xml:space="preserve"> the Odqvist </w:t>
      </w:r>
      <w:proofErr w:type="spellStart"/>
      <w:r w:rsidRPr="003E64D2">
        <w:t>Laboratory</w:t>
      </w:r>
      <w:proofErr w:type="spellEnd"/>
      <w:r w:rsidRPr="003E64D2">
        <w:t xml:space="preserve"> </w:t>
      </w:r>
      <w:proofErr w:type="spellStart"/>
      <w:r w:rsidRPr="003E64D2">
        <w:t>consist</w:t>
      </w:r>
      <w:proofErr w:type="spellEnd"/>
      <w:r w:rsidRPr="003E64D2">
        <w:t xml:space="preserve"> </w:t>
      </w:r>
      <w:proofErr w:type="spellStart"/>
      <w:r w:rsidRPr="003E64D2">
        <w:t>of</w:t>
      </w:r>
      <w:proofErr w:type="spellEnd"/>
      <w:r w:rsidRPr="003E64D2">
        <w:t xml:space="preserve"> a diverse and highly qualified group of senior and junior researchers, all with strong publication records within their respective fields. In a recent </w:t>
      </w:r>
      <w:proofErr w:type="spellStart"/>
      <w:r w:rsidRPr="003E64D2">
        <w:t>evaluation</w:t>
      </w:r>
      <w:proofErr w:type="spellEnd"/>
      <w:r w:rsidRPr="00F03D2B">
        <w:rPr>
          <w:vertAlign w:val="superscript"/>
        </w:rPr>
        <w:footnoteReference w:id="1"/>
      </w:r>
      <w:r w:rsidRPr="003E64D2">
        <w:t xml:space="preserve"> </w:t>
      </w:r>
      <w:proofErr w:type="spellStart"/>
      <w:r w:rsidRPr="003E64D2">
        <w:t>of</w:t>
      </w:r>
      <w:proofErr w:type="spellEnd"/>
      <w:r w:rsidRPr="003E64D2">
        <w:t xml:space="preserve"> </w:t>
      </w:r>
      <w:proofErr w:type="spellStart"/>
      <w:r w:rsidRPr="003E64D2">
        <w:t>basic</w:t>
      </w:r>
      <w:proofErr w:type="spellEnd"/>
      <w:r w:rsidRPr="003E64D2">
        <w:t xml:space="preserve"> research within the area of Mechanical Engineering in Sweden the research within fluid mechanics, acoustics, material mechanics and biomechanics at KTH was specifically highlighted and rated as excellent to outstanding. Furthermore, these teams have solid records of supervising research students and post-doctoral fellows, as well as attracting external resources, collaborating with industry (e.g. Scania, SAAB, Volvo Cars, Volvo, Wärtsilä, Bombardier, Siemens, GKN Aerospace, SCA, Stora Enso, Tetra Pak, but also with SMEs), and working in international collaborative projects (e.g. a large number of EU-projects). </w:t>
      </w:r>
    </w:p>
    <w:p w14:paraId="77698663" w14:textId="77777777" w:rsidR="00CA4F00" w:rsidRPr="003E64D2" w:rsidRDefault="00CA4F00" w:rsidP="003E64D2">
      <w:pPr>
        <w:pStyle w:val="BodyText"/>
        <w:ind w:right="623"/>
      </w:pPr>
      <w:r w:rsidRPr="003E64D2">
        <w:lastRenderedPageBreak/>
        <w:t xml:space="preserve">In </w:t>
      </w:r>
      <w:proofErr w:type="spellStart"/>
      <w:r w:rsidRPr="003E64D2">
        <w:t>March</w:t>
      </w:r>
      <w:proofErr w:type="spellEnd"/>
      <w:r w:rsidRPr="003E64D2">
        <w:t xml:space="preserve"> 2014 the Odqvist </w:t>
      </w:r>
      <w:proofErr w:type="spellStart"/>
      <w:r w:rsidRPr="003E64D2">
        <w:t>Laboratory</w:t>
      </w:r>
      <w:proofErr w:type="spellEnd"/>
      <w:r w:rsidRPr="003E64D2">
        <w:t xml:space="preserve"> </w:t>
      </w:r>
      <w:proofErr w:type="spellStart"/>
      <w:r w:rsidRPr="003E64D2">
        <w:t>was</w:t>
      </w:r>
      <w:proofErr w:type="spellEnd"/>
      <w:r w:rsidRPr="003E64D2">
        <w:t xml:space="preserve"> </w:t>
      </w:r>
      <w:proofErr w:type="spellStart"/>
      <w:r w:rsidRPr="003E64D2">
        <w:t>awarded</w:t>
      </w:r>
      <w:proofErr w:type="spellEnd"/>
      <w:r w:rsidRPr="003E64D2">
        <w:t xml:space="preserve"> a grant from KAW for further investments in state-of-the-art experimental techniques. (23,6 mkr)</w:t>
      </w:r>
    </w:p>
    <w:p w14:paraId="26558644" w14:textId="77777777" w:rsidR="00CA4F00" w:rsidRPr="003E64D2" w:rsidRDefault="00CA4F00" w:rsidP="003E64D2">
      <w:pPr>
        <w:pStyle w:val="BodyText"/>
        <w:ind w:right="623"/>
      </w:pPr>
      <w:r w:rsidRPr="003E64D2">
        <w:t xml:space="preserve">The application to KAW included support letters from </w:t>
      </w:r>
      <w:proofErr w:type="spellStart"/>
      <w:r w:rsidRPr="003E64D2">
        <w:t>most</w:t>
      </w:r>
      <w:proofErr w:type="spellEnd"/>
      <w:r w:rsidRPr="003E64D2">
        <w:t xml:space="preserve"> major Swedish </w:t>
      </w:r>
      <w:proofErr w:type="spellStart"/>
      <w:r w:rsidRPr="003E64D2">
        <w:t>universities</w:t>
      </w:r>
      <w:proofErr w:type="spellEnd"/>
      <w:r w:rsidRPr="003E64D2">
        <w:t xml:space="preserve"> (Luleå University </w:t>
      </w:r>
      <w:proofErr w:type="spellStart"/>
      <w:r w:rsidRPr="003E64D2">
        <w:t>of</w:t>
      </w:r>
      <w:proofErr w:type="spellEnd"/>
      <w:r w:rsidRPr="003E64D2">
        <w:t xml:space="preserve"> </w:t>
      </w:r>
      <w:proofErr w:type="spellStart"/>
      <w:r w:rsidRPr="003E64D2">
        <w:t>Technology</w:t>
      </w:r>
      <w:proofErr w:type="spellEnd"/>
      <w:r w:rsidRPr="003E64D2">
        <w:t xml:space="preserve">, Mid Sweden University, University </w:t>
      </w:r>
      <w:proofErr w:type="spellStart"/>
      <w:r w:rsidRPr="003E64D2">
        <w:t>of</w:t>
      </w:r>
      <w:proofErr w:type="spellEnd"/>
      <w:r w:rsidRPr="003E64D2">
        <w:t xml:space="preserve"> Gävle, Uppsala University, Karolinska Institutet, Linköping University, Chalmers and Lund University) as well from a set of international </w:t>
      </w:r>
      <w:proofErr w:type="spellStart"/>
      <w:r w:rsidRPr="003E64D2">
        <w:t>universities</w:t>
      </w:r>
      <w:proofErr w:type="spellEnd"/>
      <w:r w:rsidRPr="003E64D2">
        <w:t xml:space="preserve"> (</w:t>
      </w:r>
      <w:proofErr w:type="spellStart"/>
      <w:r w:rsidRPr="003E64D2">
        <w:t>Technical</w:t>
      </w:r>
      <w:proofErr w:type="spellEnd"/>
      <w:r w:rsidRPr="003E64D2">
        <w:t xml:space="preserve"> University </w:t>
      </w:r>
      <w:proofErr w:type="spellStart"/>
      <w:r w:rsidRPr="003E64D2">
        <w:t>of</w:t>
      </w:r>
      <w:proofErr w:type="spellEnd"/>
      <w:r w:rsidRPr="003E64D2">
        <w:t xml:space="preserve"> </w:t>
      </w:r>
      <w:proofErr w:type="spellStart"/>
      <w:r w:rsidRPr="003E64D2">
        <w:t>Denmark</w:t>
      </w:r>
      <w:proofErr w:type="spellEnd"/>
      <w:r w:rsidRPr="003E64D2">
        <w:t xml:space="preserve">, </w:t>
      </w:r>
      <w:proofErr w:type="spellStart"/>
      <w:r w:rsidRPr="003E64D2">
        <w:t>Università</w:t>
      </w:r>
      <w:proofErr w:type="spellEnd"/>
      <w:r w:rsidRPr="003E64D2">
        <w:t xml:space="preserve"> di Bologna and Melbourne University). Internationally there are few (if any) </w:t>
      </w:r>
      <w:proofErr w:type="spellStart"/>
      <w:r w:rsidRPr="003E64D2">
        <w:t>laboratories</w:t>
      </w:r>
      <w:proofErr w:type="spellEnd"/>
      <w:r w:rsidRPr="003E64D2">
        <w:t xml:space="preserve"> </w:t>
      </w:r>
      <w:proofErr w:type="spellStart"/>
      <w:r w:rsidRPr="003E64D2">
        <w:t>with</w:t>
      </w:r>
      <w:proofErr w:type="spellEnd"/>
      <w:r w:rsidRPr="003E64D2">
        <w:t xml:space="preserve"> the </w:t>
      </w:r>
      <w:proofErr w:type="spellStart"/>
      <w:r w:rsidRPr="003E64D2">
        <w:t>breadth</w:t>
      </w:r>
      <w:proofErr w:type="spellEnd"/>
      <w:r w:rsidRPr="003E64D2">
        <w:t xml:space="preserve"> </w:t>
      </w:r>
      <w:proofErr w:type="spellStart"/>
      <w:r w:rsidRPr="003E64D2">
        <w:t>that</w:t>
      </w:r>
      <w:proofErr w:type="spellEnd"/>
      <w:r w:rsidRPr="003E64D2">
        <w:t xml:space="preserve"> the Odqvist </w:t>
      </w:r>
      <w:proofErr w:type="spellStart"/>
      <w:r w:rsidRPr="003E64D2">
        <w:t>Laboratory</w:t>
      </w:r>
      <w:proofErr w:type="spellEnd"/>
      <w:r w:rsidRPr="003E64D2">
        <w:t xml:space="preserve"> </w:t>
      </w:r>
      <w:proofErr w:type="spellStart"/>
      <w:r w:rsidRPr="003E64D2">
        <w:t>represents</w:t>
      </w:r>
      <w:proofErr w:type="spellEnd"/>
      <w:r w:rsidRPr="003E64D2">
        <w:t xml:space="preserve">, </w:t>
      </w:r>
      <w:proofErr w:type="spellStart"/>
      <w:r w:rsidRPr="003E64D2">
        <w:t>however</w:t>
      </w:r>
      <w:proofErr w:type="spellEnd"/>
      <w:r w:rsidRPr="003E64D2">
        <w:t xml:space="preserve">, </w:t>
      </w:r>
      <w:proofErr w:type="spellStart"/>
      <w:r w:rsidRPr="003E64D2">
        <w:t>there</w:t>
      </w:r>
      <w:proofErr w:type="spellEnd"/>
      <w:r w:rsidRPr="003E64D2">
        <w:t xml:space="preserve"> are of course excellent more specialized laboratories at other universities, as for instance in fluid mechanics, Delft Technical University, Melbourne University and Princeton University, in solid </w:t>
      </w:r>
      <w:proofErr w:type="spellStart"/>
      <w:r w:rsidRPr="003E64D2">
        <w:t>mechanics</w:t>
      </w:r>
      <w:proofErr w:type="spellEnd"/>
      <w:r w:rsidRPr="003E64D2">
        <w:t xml:space="preserve">, </w:t>
      </w:r>
      <w:proofErr w:type="spellStart"/>
      <w:r w:rsidRPr="003E64D2">
        <w:t>Kysar</w:t>
      </w:r>
      <w:proofErr w:type="spellEnd"/>
      <w:r w:rsidRPr="003E64D2">
        <w:t xml:space="preserve"> Research </w:t>
      </w:r>
      <w:proofErr w:type="spellStart"/>
      <w:r w:rsidRPr="003E64D2">
        <w:t>Laboratory</w:t>
      </w:r>
      <w:proofErr w:type="spellEnd"/>
      <w:r w:rsidRPr="003E64D2">
        <w:t xml:space="preserve">, Columbia University, USA and University of Southampton, UK, and in </w:t>
      </w:r>
      <w:proofErr w:type="spellStart"/>
      <w:r w:rsidRPr="003E64D2">
        <w:t>acoustics</w:t>
      </w:r>
      <w:proofErr w:type="spellEnd"/>
      <w:r w:rsidRPr="003E64D2">
        <w:t xml:space="preserve">, </w:t>
      </w:r>
      <w:proofErr w:type="spellStart"/>
      <w:r w:rsidRPr="003E64D2">
        <w:t>Laboratoire</w:t>
      </w:r>
      <w:proofErr w:type="spellEnd"/>
      <w:r w:rsidRPr="003E64D2">
        <w:t xml:space="preserve"> </w:t>
      </w:r>
      <w:proofErr w:type="spellStart"/>
      <w:r w:rsidRPr="003E64D2">
        <w:t>d’Acoustique</w:t>
      </w:r>
      <w:proofErr w:type="spellEnd"/>
      <w:r w:rsidRPr="003E64D2">
        <w:t xml:space="preserve"> de </w:t>
      </w:r>
      <w:proofErr w:type="spellStart"/>
      <w:r w:rsidRPr="003E64D2">
        <w:t>l’Université</w:t>
      </w:r>
      <w:proofErr w:type="spellEnd"/>
      <w:r w:rsidRPr="003E64D2">
        <w:t xml:space="preserve"> du Maine (LAUM), France.</w:t>
      </w:r>
    </w:p>
    <w:p w14:paraId="3A0CB3BF" w14:textId="77777777" w:rsidR="00CA4F00" w:rsidRPr="00C31274" w:rsidRDefault="00CA4F00" w:rsidP="00B30929">
      <w:pPr>
        <w:pStyle w:val="BodyText"/>
        <w:ind w:right="623"/>
        <w:rPr>
          <w:lang w:val="en-GB"/>
        </w:rPr>
      </w:pPr>
      <w:r w:rsidRPr="003E64D2">
        <w:t xml:space="preserve">Although computations and simulations have become more and more viable tools used for developing future materials and processes, the shift towards studies of complex physical situations makes accurate mathematical modelling hard or impossible. As examples this applies to advanced materials characterization and modelling as well as processes where fluid flows are imperative. For these situations as well as for validation of models, experiments will continue to play an indispensable role. Thus there is a strong need for complementing computations with advanced experiments. This requires dedicated and continuous investments in facilities, instrumentation as well as a dedicated technical staff for user support and access to the infrastructure for external users. </w:t>
      </w:r>
      <w:proofErr w:type="spellStart"/>
      <w:r w:rsidRPr="003E64D2">
        <w:t>Our</w:t>
      </w:r>
      <w:proofErr w:type="spellEnd"/>
      <w:r w:rsidRPr="003E64D2">
        <w:t xml:space="preserve"> </w:t>
      </w:r>
      <w:proofErr w:type="spellStart"/>
      <w:r w:rsidRPr="003E64D2">
        <w:t>goal</w:t>
      </w:r>
      <w:proofErr w:type="spellEnd"/>
      <w:r w:rsidRPr="003E64D2">
        <w:t xml:space="preserve"> is </w:t>
      </w:r>
      <w:proofErr w:type="spellStart"/>
      <w:r w:rsidRPr="003E64D2">
        <w:t>to</w:t>
      </w:r>
      <w:proofErr w:type="spellEnd"/>
      <w:r w:rsidRPr="003E64D2">
        <w:t xml:space="preserve"> make the Odqvist </w:t>
      </w:r>
      <w:proofErr w:type="spellStart"/>
      <w:r w:rsidRPr="003E64D2">
        <w:t>Laboratory</w:t>
      </w:r>
      <w:proofErr w:type="spellEnd"/>
      <w:r w:rsidRPr="003E64D2">
        <w:t xml:space="preserve"> a national research infrastructure that will be available for national and international users.</w:t>
      </w:r>
    </w:p>
    <w:p w14:paraId="14588673" w14:textId="77777777" w:rsidR="00CA4F00" w:rsidRDefault="00CA4F00" w:rsidP="00B30929">
      <w:pPr>
        <w:ind w:right="623"/>
        <w:rPr>
          <w:lang w:val="en-GB"/>
        </w:rPr>
      </w:pPr>
      <w:proofErr w:type="spellStart"/>
      <w:r w:rsidRPr="00F845E0">
        <w:rPr>
          <w:lang w:val="en-GB"/>
        </w:rPr>
        <w:t>Kontaktperson</w:t>
      </w:r>
      <w:proofErr w:type="spellEnd"/>
      <w:r w:rsidRPr="00F845E0">
        <w:rPr>
          <w:lang w:val="en-GB"/>
        </w:rPr>
        <w:t>: Daniel Söderberg</w:t>
      </w:r>
      <w:r>
        <w:rPr>
          <w:lang w:val="en-GB"/>
        </w:rPr>
        <w:t xml:space="preserve">, </w:t>
      </w:r>
      <w:hyperlink r:id="rId15" w:history="1">
        <w:r w:rsidRPr="0006640A">
          <w:rPr>
            <w:rStyle w:val="Hyperlink"/>
            <w:lang w:val="en-GB"/>
          </w:rPr>
          <w:t>dansod@kth.se</w:t>
        </w:r>
      </w:hyperlink>
    </w:p>
    <w:p w14:paraId="232A9803" w14:textId="77777777" w:rsidR="00CA4F00" w:rsidRDefault="00CA4F00" w:rsidP="00B30929">
      <w:pPr>
        <w:ind w:right="623"/>
        <w:rPr>
          <w:lang w:val="en-GB"/>
        </w:rPr>
      </w:pPr>
    </w:p>
    <w:p w14:paraId="34166157" w14:textId="77777777" w:rsidR="008D09F4" w:rsidRDefault="008D09F4" w:rsidP="00B30929">
      <w:pPr>
        <w:ind w:right="623"/>
        <w:rPr>
          <w:lang w:val="en-GB"/>
        </w:rPr>
      </w:pPr>
    </w:p>
    <w:p w14:paraId="59A10D90" w14:textId="77777777" w:rsidR="00CA4F00" w:rsidRPr="008D09F4" w:rsidRDefault="008D09F4" w:rsidP="00B30929">
      <w:pPr>
        <w:pStyle w:val="Heading2"/>
        <w:ind w:right="623"/>
      </w:pPr>
      <w:bookmarkStart w:id="12" w:name="_Toc421108496"/>
      <w:r w:rsidRPr="008D09F4">
        <w:t>SciLifeLab</w:t>
      </w:r>
      <w:bookmarkEnd w:id="12"/>
    </w:p>
    <w:p w14:paraId="129227AE" w14:textId="77777777" w:rsidR="005C57D9" w:rsidRPr="0089388C" w:rsidRDefault="005C57D9" w:rsidP="00F03D2B">
      <w:pPr>
        <w:pStyle w:val="BodyText"/>
        <w:ind w:right="623"/>
      </w:pPr>
      <w:r w:rsidRPr="0089388C">
        <w:t xml:space="preserve">SciLifeLab är en sammanslutning mellan Karolinska Institutet, Kungliga Tekniska Högskolan, Stockholms Universitet och Uppsala Universitet.  Centret kombinerar avancerad teknisk expertis och </w:t>
      </w:r>
      <w:proofErr w:type="spellStart"/>
      <w:r w:rsidRPr="0089388C">
        <w:t>state</w:t>
      </w:r>
      <w:proofErr w:type="spellEnd"/>
      <w:r w:rsidRPr="0089388C">
        <w:t>-</w:t>
      </w:r>
      <w:proofErr w:type="spellStart"/>
      <w:r w:rsidRPr="0089388C">
        <w:t>of</w:t>
      </w:r>
      <w:proofErr w:type="spellEnd"/>
      <w:r w:rsidRPr="0089388C">
        <w:t xml:space="preserve">-the-art utrustning med en bred kunskap inom </w:t>
      </w:r>
      <w:proofErr w:type="spellStart"/>
      <w:r w:rsidRPr="0089388C">
        <w:t>translationell</w:t>
      </w:r>
      <w:proofErr w:type="spellEnd"/>
      <w:r w:rsidRPr="0089388C">
        <w:t xml:space="preserve"> medicin och molekylär biovetenskap. Sedan 2013 fungerar SciLifeLab som en nationell resurs för samtliga universitet och högskolor i Sverige, där nio teknikplattformar utgör basen för verksamheten, där varje erbjuder instrumentering och service genom en till åtta faciliteter. </w:t>
      </w:r>
    </w:p>
    <w:p w14:paraId="0C08F3F0" w14:textId="77777777" w:rsidR="005C57D9" w:rsidRPr="0089388C" w:rsidRDefault="005C57D9" w:rsidP="00F03D2B">
      <w:pPr>
        <w:pStyle w:val="BodyText"/>
        <w:ind w:right="623"/>
      </w:pPr>
      <w:r w:rsidRPr="0089388C">
        <w:t xml:space="preserve">Som en del av SciLifeLab, men även som självständig nationell infrastruktur inom genomsekvensering existerar </w:t>
      </w:r>
      <w:r w:rsidRPr="00F03D2B">
        <w:t xml:space="preserve">NGI (National </w:t>
      </w:r>
      <w:proofErr w:type="spellStart"/>
      <w:r w:rsidRPr="00F03D2B">
        <w:t>Genomics</w:t>
      </w:r>
      <w:proofErr w:type="spellEnd"/>
      <w:r w:rsidRPr="00F03D2B">
        <w:t xml:space="preserve"> </w:t>
      </w:r>
      <w:proofErr w:type="spellStart"/>
      <w:r w:rsidRPr="00F03D2B">
        <w:t>Infrastructure</w:t>
      </w:r>
      <w:proofErr w:type="spellEnd"/>
      <w:r w:rsidRPr="00F03D2B">
        <w:t>),</w:t>
      </w:r>
      <w:r w:rsidRPr="0089388C">
        <w:t xml:space="preserve"> f.d. SNISS. NGI regleras som </w:t>
      </w:r>
      <w:proofErr w:type="spellStart"/>
      <w:r w:rsidRPr="0089388C">
        <w:t>kontraktuell</w:t>
      </w:r>
      <w:proofErr w:type="spellEnd"/>
      <w:r w:rsidRPr="0089388C">
        <w:t xml:space="preserve"> samverkan mellan KTH, UU och </w:t>
      </w:r>
      <w:proofErr w:type="spellStart"/>
      <w:r w:rsidRPr="0089388C">
        <w:t>UmU</w:t>
      </w:r>
      <w:proofErr w:type="spellEnd"/>
      <w:r w:rsidRPr="0089388C">
        <w:t>.</w:t>
      </w:r>
    </w:p>
    <w:p w14:paraId="4E82FABB" w14:textId="77777777" w:rsidR="008D09F4" w:rsidRDefault="008D09F4" w:rsidP="00B30929">
      <w:pPr>
        <w:ind w:right="623"/>
        <w:rPr>
          <w:lang w:val="en-GB"/>
        </w:rPr>
      </w:pPr>
    </w:p>
    <w:p w14:paraId="11D9A8C9" w14:textId="77777777" w:rsidR="008D09F4" w:rsidRDefault="005C57D9" w:rsidP="00B30929">
      <w:pPr>
        <w:pStyle w:val="Heading2"/>
        <w:ind w:right="623"/>
        <w:rPr>
          <w:lang w:val="en-GB"/>
        </w:rPr>
      </w:pPr>
      <w:bookmarkStart w:id="13" w:name="_Toc421108497"/>
      <w:proofErr w:type="spellStart"/>
      <w:r>
        <w:rPr>
          <w:lang w:val="en-GB"/>
        </w:rPr>
        <w:t>Sjöstadsverket</w:t>
      </w:r>
      <w:bookmarkEnd w:id="13"/>
      <w:proofErr w:type="spellEnd"/>
    </w:p>
    <w:p w14:paraId="662CDA1E" w14:textId="77777777" w:rsidR="005C57D9" w:rsidRPr="0089388C" w:rsidRDefault="005C57D9" w:rsidP="00F03D2B">
      <w:pPr>
        <w:pStyle w:val="BodyText"/>
        <w:ind w:right="623"/>
      </w:pPr>
      <w:r w:rsidRPr="0089388C">
        <w:t xml:space="preserve">Hammarby Sjöstadsverk är en resurs och en plattform för utveckling och utbyte av kunskap och teknik inom vattenrening/miljöteknik. Sjöstadsverket främjar samarbetet mellan företag, experter/forskare och kommunala </w:t>
      </w:r>
      <w:proofErr w:type="spellStart"/>
      <w:r w:rsidRPr="0089388C">
        <w:t>VA-verk</w:t>
      </w:r>
      <w:proofErr w:type="spellEnd"/>
      <w:r w:rsidRPr="0089388C">
        <w:t xml:space="preserve"> för att möta framtida utmaningar inom VA-sektorn och för att öka exporten av svenskt kunskap och teknik. Anläggningen som ägs och drivs av Kungliga Tekniska Högskolan (KTH) och IVL Svenska Miljöinstitutet används i såväl långsiktiga </w:t>
      </w:r>
      <w:r w:rsidRPr="0089388C">
        <w:lastRenderedPageBreak/>
        <w:t xml:space="preserve">nationella och internationella forskningsprogram/projekt samt uppdrags-, test- och utvecklingsarbete åt näringslivet och andra parter. </w:t>
      </w:r>
    </w:p>
    <w:p w14:paraId="61B8AC74" w14:textId="77777777" w:rsidR="005C57D9" w:rsidRDefault="005C57D9" w:rsidP="00B30929">
      <w:pPr>
        <w:ind w:right="623"/>
        <w:rPr>
          <w:lang w:val="en-GB"/>
        </w:rPr>
      </w:pPr>
    </w:p>
    <w:p w14:paraId="04BCCC24" w14:textId="77777777" w:rsidR="002F1EB0" w:rsidRPr="00ED10AD" w:rsidRDefault="002F1EB0" w:rsidP="00B30929">
      <w:pPr>
        <w:pStyle w:val="KTHnRubrik2"/>
        <w:numPr>
          <w:ilvl w:val="0"/>
          <w:numId w:val="0"/>
        </w:numPr>
        <w:ind w:left="578" w:right="623" w:hanging="578"/>
        <w:rPr>
          <w:lang w:val="en-US"/>
        </w:rPr>
      </w:pPr>
      <w:bookmarkStart w:id="14" w:name="_Toc384120554"/>
      <w:bookmarkStart w:id="15" w:name="_Toc421108498"/>
      <w:r w:rsidRPr="00ED10AD">
        <w:rPr>
          <w:lang w:val="en-US"/>
        </w:rPr>
        <w:t xml:space="preserve">TEM – </w:t>
      </w:r>
      <w:proofErr w:type="spellStart"/>
      <w:r w:rsidRPr="002F1EB0">
        <w:t>Infrastructure</w:t>
      </w:r>
      <w:proofErr w:type="spellEnd"/>
      <w:r w:rsidRPr="00ED10AD">
        <w:rPr>
          <w:lang w:val="en-US"/>
        </w:rPr>
        <w:t xml:space="preserve"> for Ultrafast Material Characterization</w:t>
      </w:r>
      <w:bookmarkEnd w:id="14"/>
      <w:bookmarkEnd w:id="15"/>
    </w:p>
    <w:p w14:paraId="59F02711" w14:textId="77777777" w:rsidR="002F1EB0" w:rsidRPr="0089388C" w:rsidRDefault="002F1EB0" w:rsidP="00F03D2B">
      <w:pPr>
        <w:pStyle w:val="BodyText"/>
        <w:ind w:right="623"/>
      </w:pPr>
      <w:r>
        <w:t>Ett t</w:t>
      </w:r>
      <w:r w:rsidRPr="00873CB3">
        <w:t>ransmissionselektronmikroskop</w:t>
      </w:r>
      <w:r>
        <w:t xml:space="preserve"> </w:t>
      </w:r>
      <w:r w:rsidRPr="0089388C">
        <w:t xml:space="preserve">(TEM) </w:t>
      </w:r>
      <w:r>
        <w:t>möjliggör studier ner på atomnivå. Dock har det tidigare inte varit möjligt att följa mekanismer som byter tillstånd för ett material på samma nivå.</w:t>
      </w:r>
      <w:r w:rsidRPr="0089388C">
        <w:t xml:space="preserve"> </w:t>
      </w:r>
      <w:r>
        <w:t xml:space="preserve"> Material byter tillstånd genom en omorganisation på atomär nivå där förändringar i bindningar sker på avstånd i storleksordningen ångström med en hastighet på ungefär </w:t>
      </w:r>
      <w:r w:rsidRPr="0089388C">
        <w:t xml:space="preserve">1 km/s. </w:t>
      </w:r>
      <w:r>
        <w:t xml:space="preserve"> För att möjliggöra detektion av rörelser av individuella atomer under sådana förändringar krävs ett mikroskop som kan fånga bilder med en tidsupplösning på </w:t>
      </w:r>
      <w:proofErr w:type="spellStart"/>
      <w:r>
        <w:t>femtosekunds</w:t>
      </w:r>
      <w:proofErr w:type="spellEnd"/>
      <w:r>
        <w:t>-nivån</w:t>
      </w:r>
      <w:r w:rsidRPr="0089388C">
        <w:t>.</w:t>
      </w:r>
      <w:r>
        <w:t xml:space="preserve"> Detta möjliggör studier av fasövergångar för att </w:t>
      </w:r>
      <w:proofErr w:type="gramStart"/>
      <w:r>
        <w:t>utröna</w:t>
      </w:r>
      <w:proofErr w:type="gramEnd"/>
      <w:r>
        <w:t xml:space="preserve"> vad som kommer först; en strukturell eller en elektronisk övergång. Ett sådant ultrasnabbt elektronmikroskop (UEM), det första i Sverige, kommer att byggas på avdelningen för Material- och Nanofysik på KTH tack vare ett bidrag från </w:t>
      </w:r>
      <w:r w:rsidRPr="0089388C">
        <w:t>K. &amp; A. Wallenbergs Stiftelse</w:t>
      </w:r>
      <w:r>
        <w:t>. Instrumentet kommer även tillgängligöras för andra forskargrupper i Sverige.</w:t>
      </w:r>
      <w:r w:rsidRPr="0089388C">
        <w:t xml:space="preserve"> </w:t>
      </w:r>
    </w:p>
    <w:p w14:paraId="6D179489" w14:textId="77777777" w:rsidR="002F1EB0" w:rsidRDefault="002F1EB0" w:rsidP="00B30929">
      <w:pPr>
        <w:ind w:right="623"/>
        <w:rPr>
          <w:lang w:val="en-GB"/>
        </w:rPr>
      </w:pPr>
    </w:p>
    <w:p w14:paraId="3CAA320C" w14:textId="77777777" w:rsidR="002F1EB0" w:rsidRPr="0089388C" w:rsidRDefault="002F1EB0" w:rsidP="00B30929">
      <w:pPr>
        <w:pStyle w:val="KTHnRubrik2"/>
        <w:numPr>
          <w:ilvl w:val="0"/>
          <w:numId w:val="0"/>
        </w:numPr>
        <w:ind w:left="578" w:right="623" w:hanging="578"/>
      </w:pPr>
      <w:bookmarkStart w:id="16" w:name="_Toc384120555"/>
      <w:bookmarkStart w:id="17" w:name="_Toc421108499"/>
      <w:r w:rsidRPr="0089388C">
        <w:t>Det svenska strålröret vid PETRAIII</w:t>
      </w:r>
      <w:bookmarkEnd w:id="16"/>
      <w:bookmarkEnd w:id="17"/>
    </w:p>
    <w:p w14:paraId="684ECDF3" w14:textId="77777777" w:rsidR="002F1EB0" w:rsidRPr="0089388C" w:rsidRDefault="002F1EB0" w:rsidP="00B30929">
      <w:pPr>
        <w:pStyle w:val="BodyText"/>
        <w:ind w:right="623"/>
        <w:jc w:val="both"/>
      </w:pPr>
      <w:r w:rsidRPr="0089388C">
        <w:t>Inom ramen för Röntgen-Ångström avtalet med Tyskland skall Sverige bygga, finansiera och driva ett strålrör vid PETRAIII i Hamburg. PETRAIII är i dag vär</w:t>
      </w:r>
      <w:r>
        <w:t>l</w:t>
      </w:r>
      <w:r w:rsidRPr="0089388C">
        <w:t xml:space="preserve">dens mest briljanta synkrotronljusring och arbetar vid 6 GeV elektronenergi. </w:t>
      </w:r>
    </w:p>
    <w:p w14:paraId="323FCA15" w14:textId="77777777" w:rsidR="002F1EB0" w:rsidRPr="00F03D2B" w:rsidRDefault="002F1EB0" w:rsidP="00B30929">
      <w:pPr>
        <w:ind w:right="623"/>
      </w:pPr>
      <w:r w:rsidRPr="0089388C">
        <w:t xml:space="preserve">Vid utformingen av strålröret har ett mycket stort antal forskare från flera svenska universitet deltagit och flera workshops och även studiebesök i Hamburg har genomförts. Strålröret har nu fått en slutlig design och blir ett stålrör för materialstudier i fotonenergiintervallet 50 till 150 </w:t>
      </w:r>
      <w:proofErr w:type="spellStart"/>
      <w:r w:rsidRPr="0089388C">
        <w:t>keV</w:t>
      </w:r>
      <w:proofErr w:type="spellEnd"/>
      <w:r w:rsidRPr="0089388C">
        <w:t xml:space="preserve">. Strålröret skall byggas i tre etapper och den först etappen blir klar strax efter att den nya experimentbyggnaden vid PETRAIII har färdigställts. Då PETRAIII är den hårdröntgenring som har bäst prestanda i världen i dag kommer det svenska strålröret att vara världsledande inom studier av nanostrukturer i fasta material.  </w:t>
      </w:r>
    </w:p>
    <w:p w14:paraId="54384332" w14:textId="77777777" w:rsidR="00262504" w:rsidRDefault="00262504" w:rsidP="00B30929">
      <w:pPr>
        <w:pStyle w:val="Heading1"/>
        <w:ind w:right="623"/>
        <w:rPr>
          <w:lang w:val="en-GB"/>
        </w:rPr>
      </w:pPr>
    </w:p>
    <w:p w14:paraId="0D76BE84" w14:textId="6A27344D" w:rsidR="008E1377" w:rsidRDefault="00262504" w:rsidP="00B30929">
      <w:pPr>
        <w:pStyle w:val="Heading1"/>
        <w:ind w:right="623"/>
        <w:rPr>
          <w:lang w:val="en-GB"/>
        </w:rPr>
      </w:pPr>
      <w:bookmarkStart w:id="18" w:name="_Toc421108500"/>
      <w:proofErr w:type="spellStart"/>
      <w:r>
        <w:rPr>
          <w:lang w:val="en-GB"/>
        </w:rPr>
        <w:t>Förslag</w:t>
      </w:r>
      <w:proofErr w:type="spellEnd"/>
      <w:r>
        <w:rPr>
          <w:lang w:val="en-GB"/>
        </w:rPr>
        <w:t xml:space="preserve"> </w:t>
      </w:r>
      <w:proofErr w:type="spellStart"/>
      <w:r>
        <w:rPr>
          <w:lang w:val="en-GB"/>
        </w:rPr>
        <w:t>på</w:t>
      </w:r>
      <w:proofErr w:type="spellEnd"/>
      <w:r>
        <w:rPr>
          <w:lang w:val="en-GB"/>
        </w:rPr>
        <w:t xml:space="preserve"> </w:t>
      </w:r>
      <w:proofErr w:type="spellStart"/>
      <w:r>
        <w:rPr>
          <w:lang w:val="en-GB"/>
        </w:rPr>
        <w:t>n</w:t>
      </w:r>
      <w:r w:rsidR="00030DAD">
        <w:rPr>
          <w:lang w:val="en-GB"/>
        </w:rPr>
        <w:t>ationella</w:t>
      </w:r>
      <w:proofErr w:type="spellEnd"/>
      <w:r w:rsidR="00030DAD">
        <w:rPr>
          <w:lang w:val="en-GB"/>
        </w:rPr>
        <w:t xml:space="preserve"> </w:t>
      </w:r>
      <w:r w:rsidR="00030DAD" w:rsidRPr="00262504">
        <w:t>infrastrukturer</w:t>
      </w:r>
      <w:r w:rsidR="00030DAD">
        <w:rPr>
          <w:lang w:val="en-GB"/>
        </w:rPr>
        <w:t xml:space="preserve"> med </w:t>
      </w:r>
      <w:proofErr w:type="spellStart"/>
      <w:r w:rsidR="00030DAD">
        <w:rPr>
          <w:lang w:val="en-GB"/>
        </w:rPr>
        <w:t>annan</w:t>
      </w:r>
      <w:proofErr w:type="spellEnd"/>
      <w:r w:rsidR="00030DAD">
        <w:rPr>
          <w:lang w:val="en-GB"/>
        </w:rPr>
        <w:t xml:space="preserve"> </w:t>
      </w:r>
      <w:proofErr w:type="spellStart"/>
      <w:r w:rsidR="00030DAD">
        <w:rPr>
          <w:lang w:val="en-GB"/>
        </w:rPr>
        <w:t>huvudman</w:t>
      </w:r>
      <w:proofErr w:type="spellEnd"/>
      <w:r w:rsidR="00030DAD">
        <w:rPr>
          <w:lang w:val="en-GB"/>
        </w:rPr>
        <w:t xml:space="preserve">, </w:t>
      </w:r>
      <w:proofErr w:type="spellStart"/>
      <w:r w:rsidR="00030DAD">
        <w:rPr>
          <w:lang w:val="en-GB"/>
        </w:rPr>
        <w:t>där</w:t>
      </w:r>
      <w:proofErr w:type="spellEnd"/>
      <w:r w:rsidR="00030DAD">
        <w:rPr>
          <w:lang w:val="en-GB"/>
        </w:rPr>
        <w:t xml:space="preserve"> KTH </w:t>
      </w:r>
      <w:proofErr w:type="spellStart"/>
      <w:r w:rsidR="00030DAD">
        <w:rPr>
          <w:lang w:val="en-GB"/>
        </w:rPr>
        <w:t>ingår</w:t>
      </w:r>
      <w:proofErr w:type="spellEnd"/>
      <w:r w:rsidR="00030DAD">
        <w:rPr>
          <w:lang w:val="en-GB"/>
        </w:rPr>
        <w:t xml:space="preserve"> </w:t>
      </w:r>
      <w:proofErr w:type="spellStart"/>
      <w:r w:rsidR="003F42D6">
        <w:rPr>
          <w:lang w:val="en-GB"/>
        </w:rPr>
        <w:t>i</w:t>
      </w:r>
      <w:proofErr w:type="spellEnd"/>
      <w:r w:rsidR="00030DAD">
        <w:rPr>
          <w:lang w:val="en-GB"/>
        </w:rPr>
        <w:t xml:space="preserve"> </w:t>
      </w:r>
      <w:proofErr w:type="spellStart"/>
      <w:r w:rsidR="00030DAD">
        <w:rPr>
          <w:lang w:val="en-GB"/>
        </w:rPr>
        <w:t>konsortiet</w:t>
      </w:r>
      <w:bookmarkEnd w:id="18"/>
      <w:proofErr w:type="spellEnd"/>
    </w:p>
    <w:p w14:paraId="1F779044" w14:textId="77777777" w:rsidR="009876C9" w:rsidRDefault="009876C9" w:rsidP="00B30929">
      <w:pPr>
        <w:pStyle w:val="Heading2"/>
        <w:ind w:right="623"/>
      </w:pPr>
    </w:p>
    <w:p w14:paraId="48E65107" w14:textId="77777777" w:rsidR="00CD6817" w:rsidRDefault="00CD6817" w:rsidP="00B30929">
      <w:pPr>
        <w:pStyle w:val="Heading2"/>
        <w:ind w:right="623"/>
      </w:pPr>
      <w:bookmarkStart w:id="19" w:name="_Toc421108501"/>
      <w:proofErr w:type="spellStart"/>
      <w:r>
        <w:t>THz</w:t>
      </w:r>
      <w:proofErr w:type="spellEnd"/>
      <w:r>
        <w:t>/X-</w:t>
      </w:r>
      <w:proofErr w:type="spellStart"/>
      <w:r>
        <w:t>ray</w:t>
      </w:r>
      <w:proofErr w:type="spellEnd"/>
      <w:r>
        <w:t xml:space="preserve"> pump-</w:t>
      </w:r>
      <w:proofErr w:type="spellStart"/>
      <w:r>
        <w:t>probe</w:t>
      </w:r>
      <w:proofErr w:type="spellEnd"/>
      <w:r>
        <w:t xml:space="preserve"> </w:t>
      </w:r>
      <w:proofErr w:type="spellStart"/>
      <w:r>
        <w:t>facility</w:t>
      </w:r>
      <w:bookmarkEnd w:id="19"/>
      <w:proofErr w:type="spellEnd"/>
    </w:p>
    <w:p w14:paraId="46BF4898" w14:textId="77777777" w:rsidR="00CD6817" w:rsidRDefault="00CD6817" w:rsidP="00B30929">
      <w:pPr>
        <w:pStyle w:val="BodyText"/>
        <w:ind w:right="623"/>
        <w:rPr>
          <w:rFonts w:cs="Times New Roman"/>
          <w:color w:val="000000"/>
        </w:rPr>
      </w:pPr>
      <w:r w:rsidRPr="00BE142C">
        <w:rPr>
          <w:rFonts w:cs="Times New Roman"/>
          <w:color w:val="000000"/>
        </w:rPr>
        <w:t xml:space="preserve">Användning av </w:t>
      </w:r>
      <w:proofErr w:type="spellStart"/>
      <w:r w:rsidRPr="00BE142C">
        <w:rPr>
          <w:rFonts w:cs="Times New Roman"/>
          <w:color w:val="000000"/>
        </w:rPr>
        <w:t>THz</w:t>
      </w:r>
      <w:proofErr w:type="spellEnd"/>
      <w:r w:rsidRPr="00BE142C">
        <w:rPr>
          <w:rFonts w:cs="Times New Roman"/>
          <w:color w:val="000000"/>
        </w:rPr>
        <w:t>-strålning för vetenskapliga experiment är under snabb utveckling.</w:t>
      </w:r>
      <w:r>
        <w:rPr>
          <w:rFonts w:cs="Times New Roman"/>
          <w:color w:val="000000"/>
        </w:rPr>
        <w:t xml:space="preserve"> </w:t>
      </w:r>
      <w:r w:rsidRPr="00BE142C">
        <w:rPr>
          <w:rFonts w:cs="Times New Roman"/>
          <w:color w:val="000000"/>
        </w:rPr>
        <w:t xml:space="preserve">Den föreslagna anläggningen har två övergripande målsättningar: i) att leverera en faktor 10 högre intensitet än vad som finns tillgängligt med de bästa laserbaserade källorna och ii) möjlighet att kombinera denna strålning med röntgenljus, något som inte är möjligt med laserbaserade källor. Den vetenskapliga relevansen finns skisserad men behöver utarbetas mer i detalj, tillsammans med de tekniska delarna, i en </w:t>
      </w:r>
      <w:proofErr w:type="spellStart"/>
      <w:r w:rsidRPr="00BE142C">
        <w:rPr>
          <w:rFonts w:cs="Times New Roman"/>
          <w:color w:val="000000"/>
        </w:rPr>
        <w:t>Conceptual</w:t>
      </w:r>
      <w:proofErr w:type="spellEnd"/>
      <w:r w:rsidRPr="00BE142C">
        <w:rPr>
          <w:rFonts w:cs="Times New Roman"/>
          <w:color w:val="000000"/>
        </w:rPr>
        <w:t xml:space="preserve"> Design </w:t>
      </w:r>
      <w:proofErr w:type="spellStart"/>
      <w:r w:rsidRPr="00BE142C">
        <w:rPr>
          <w:rFonts w:cs="Times New Roman"/>
          <w:color w:val="000000"/>
        </w:rPr>
        <w:t>Report</w:t>
      </w:r>
      <w:proofErr w:type="spellEnd"/>
      <w:r w:rsidRPr="00BE142C">
        <w:rPr>
          <w:rFonts w:cs="Times New Roman"/>
          <w:color w:val="000000"/>
        </w:rPr>
        <w:t>.</w:t>
      </w:r>
    </w:p>
    <w:p w14:paraId="3350BAE6" w14:textId="77777777" w:rsidR="00CD6817" w:rsidRDefault="00CD6817" w:rsidP="00B30929">
      <w:pPr>
        <w:pStyle w:val="BodyText"/>
        <w:ind w:right="623"/>
        <w:rPr>
          <w:rFonts w:cs="Times New Roman"/>
          <w:color w:val="000000"/>
        </w:rPr>
      </w:pPr>
      <w:r w:rsidRPr="00BE142C">
        <w:rPr>
          <w:rFonts w:cs="Times New Roman"/>
          <w:color w:val="000000"/>
        </w:rPr>
        <w:t xml:space="preserve">FREIA-laboratoriet i </w:t>
      </w:r>
      <w:proofErr w:type="spellStart"/>
      <w:r w:rsidRPr="00BE142C">
        <w:rPr>
          <w:rFonts w:cs="Times New Roman"/>
          <w:color w:val="000000"/>
        </w:rPr>
        <w:t>ansluting</w:t>
      </w:r>
      <w:proofErr w:type="spellEnd"/>
      <w:r w:rsidRPr="00BE142C">
        <w:rPr>
          <w:rFonts w:cs="Times New Roman"/>
          <w:color w:val="000000"/>
        </w:rPr>
        <w:t xml:space="preserve"> till Ångström-laboratoriet i Uppsala erbjuder en infrastruktur i form av </w:t>
      </w:r>
      <w:proofErr w:type="spellStart"/>
      <w:r w:rsidRPr="00BE142C">
        <w:rPr>
          <w:rFonts w:cs="Times New Roman"/>
          <w:color w:val="000000"/>
        </w:rPr>
        <w:t>ändamåns</w:t>
      </w:r>
      <w:proofErr w:type="spellEnd"/>
      <w:r w:rsidRPr="00BE142C">
        <w:rPr>
          <w:rFonts w:cs="Times New Roman"/>
          <w:color w:val="000000"/>
        </w:rPr>
        <w:t xml:space="preserve">- enliga lokaler, flytande helium för supraledande acceleratorteknologi, och </w:t>
      </w:r>
      <w:r w:rsidRPr="00BE142C">
        <w:rPr>
          <w:rFonts w:cs="Times New Roman"/>
          <w:color w:val="000000"/>
        </w:rPr>
        <w:lastRenderedPageBreak/>
        <w:t>kompetens inom accelerator- fysik. Anläggningen kommer att få en storlek och komplexitet som lämpar sig väl för utbildning (inte för stor; a</w:t>
      </w:r>
      <w:r>
        <w:rPr>
          <w:rFonts w:cs="Times New Roman"/>
          <w:color w:val="000000"/>
        </w:rPr>
        <w:t>vancerad men inte otillgänglig).</w:t>
      </w:r>
    </w:p>
    <w:p w14:paraId="3B1ECE90" w14:textId="77777777" w:rsidR="00CD6817" w:rsidRDefault="00CD6817" w:rsidP="00B30929">
      <w:pPr>
        <w:pStyle w:val="BodyText"/>
        <w:ind w:right="623"/>
        <w:contextualSpacing/>
      </w:pPr>
      <w:r>
        <w:t xml:space="preserve">Användare: </w:t>
      </w:r>
      <w:r w:rsidRPr="00BE142C">
        <w:t>Ett 50-tal; ungefär som ett strålrör vid MAX IV</w:t>
      </w:r>
    </w:p>
    <w:p w14:paraId="27E74F51" w14:textId="77777777" w:rsidR="00CD6817" w:rsidRDefault="00CD6817" w:rsidP="00B30929">
      <w:pPr>
        <w:pStyle w:val="BodyText"/>
        <w:ind w:right="623"/>
        <w:contextualSpacing/>
      </w:pPr>
      <w:r w:rsidRPr="00BE142C">
        <w:t>Datasamlingssystem finns utvecklat</w:t>
      </w:r>
    </w:p>
    <w:p w14:paraId="6FDAAA91" w14:textId="77777777" w:rsidR="00CD6817" w:rsidRDefault="00CD6817" w:rsidP="00B30929">
      <w:pPr>
        <w:pStyle w:val="BodyText"/>
        <w:ind w:right="623"/>
        <w:contextualSpacing/>
      </w:pPr>
    </w:p>
    <w:p w14:paraId="32CE7C34" w14:textId="77777777" w:rsidR="00CD6817" w:rsidRDefault="00CD6817" w:rsidP="00B30929">
      <w:pPr>
        <w:pStyle w:val="BodyText"/>
        <w:ind w:right="623"/>
        <w:contextualSpacing/>
      </w:pPr>
      <w:r>
        <w:t>Investeringskostnad: 130</w:t>
      </w:r>
      <w:r w:rsidRPr="00AF6970">
        <w:t xml:space="preserve"> mkr,</w:t>
      </w:r>
      <w:r>
        <w:t xml:space="preserve"> årlig driftskostnad: </w:t>
      </w:r>
      <w:r w:rsidRPr="00AF6970">
        <w:t>15 mkr</w:t>
      </w:r>
    </w:p>
    <w:p w14:paraId="367FB6BA" w14:textId="77777777" w:rsidR="0002025B" w:rsidRDefault="0002025B" w:rsidP="00B30929">
      <w:pPr>
        <w:pStyle w:val="BodyText"/>
        <w:ind w:right="623"/>
        <w:contextualSpacing/>
      </w:pPr>
    </w:p>
    <w:p w14:paraId="5C91BD42" w14:textId="77777777" w:rsidR="00545699" w:rsidRPr="0002025B" w:rsidRDefault="0002025B" w:rsidP="00B30929">
      <w:pPr>
        <w:pStyle w:val="BodyText"/>
        <w:ind w:right="623"/>
        <w:contextualSpacing/>
        <w:rPr>
          <w:i/>
        </w:rPr>
      </w:pPr>
      <w:r w:rsidRPr="0002025B">
        <w:t>Uppsala</w:t>
      </w:r>
      <w:r>
        <w:rPr>
          <w:i/>
        </w:rPr>
        <w:t xml:space="preserve"> </w:t>
      </w:r>
      <w:r w:rsidRPr="0002025B">
        <w:t>universitet föreslås som huvudman, övriga aktörer är Stockholms universitet och KTH.</w:t>
      </w:r>
    </w:p>
    <w:p w14:paraId="5E1675F3" w14:textId="77777777" w:rsidR="0002025B" w:rsidRDefault="0002025B" w:rsidP="00B30929">
      <w:pPr>
        <w:pStyle w:val="Heading2"/>
        <w:ind w:right="623"/>
      </w:pPr>
    </w:p>
    <w:p w14:paraId="1EB7D77A" w14:textId="77777777" w:rsidR="00545699" w:rsidRDefault="00545699" w:rsidP="00B30929">
      <w:pPr>
        <w:pStyle w:val="Heading2"/>
        <w:ind w:right="623"/>
      </w:pPr>
      <w:bookmarkStart w:id="20" w:name="_Toc421108502"/>
      <w:proofErr w:type="spellStart"/>
      <w:r>
        <w:t>Laserlab</w:t>
      </w:r>
      <w:proofErr w:type="spellEnd"/>
      <w:r>
        <w:t xml:space="preserve"> – en distribuerad nationell forskningsinfrastruktur</w:t>
      </w:r>
      <w:bookmarkEnd w:id="20"/>
    </w:p>
    <w:p w14:paraId="0DD221E4" w14:textId="77777777" w:rsidR="00545699" w:rsidRPr="008B2206" w:rsidRDefault="00545699" w:rsidP="00B30929">
      <w:pPr>
        <w:pStyle w:val="BodyText"/>
        <w:ind w:right="623"/>
      </w:pPr>
      <w:r>
        <w:t xml:space="preserve">Parter: LU </w:t>
      </w:r>
      <w:proofErr w:type="gramStart"/>
      <w:r>
        <w:t>–Lunds</w:t>
      </w:r>
      <w:proofErr w:type="gramEnd"/>
      <w:r>
        <w:t xml:space="preserve"> lasercentrum har status som ”</w:t>
      </w:r>
      <w:proofErr w:type="spellStart"/>
      <w:r>
        <w:t>European</w:t>
      </w:r>
      <w:proofErr w:type="spellEnd"/>
      <w:r>
        <w:t xml:space="preserve"> </w:t>
      </w:r>
      <w:proofErr w:type="spellStart"/>
      <w:r>
        <w:t>Large</w:t>
      </w:r>
      <w:proofErr w:type="spellEnd"/>
      <w:r>
        <w:t xml:space="preserve"> </w:t>
      </w:r>
      <w:proofErr w:type="spellStart"/>
      <w:r>
        <w:t>Scale</w:t>
      </w:r>
      <w:proofErr w:type="spellEnd"/>
      <w:r>
        <w:t xml:space="preserve"> </w:t>
      </w:r>
      <w:proofErr w:type="spellStart"/>
      <w:r>
        <w:t>Infrastructure</w:t>
      </w:r>
      <w:proofErr w:type="spellEnd"/>
      <w:r>
        <w:t xml:space="preserve">”, UU (HELIOS-faciliteten), </w:t>
      </w:r>
      <w:proofErr w:type="spellStart"/>
      <w:r>
        <w:t>UmU</w:t>
      </w:r>
      <w:proofErr w:type="spellEnd"/>
      <w:r>
        <w:t xml:space="preserve"> (REAL-faciliteten) och KTH (</w:t>
      </w:r>
      <w:proofErr w:type="spellStart"/>
      <w:r>
        <w:t>Baltazar</w:t>
      </w:r>
      <w:proofErr w:type="spellEnd"/>
      <w:r>
        <w:t>-faciliteten).</w:t>
      </w:r>
    </w:p>
    <w:p w14:paraId="516ACEA4" w14:textId="77777777" w:rsidR="00545699" w:rsidRDefault="00545699" w:rsidP="00B30929">
      <w:pPr>
        <w:pStyle w:val="BodyText"/>
        <w:ind w:right="623"/>
      </w:pPr>
      <w:r>
        <w:t>Syfte med infrastrukturen skall vara koordination och optimering av utnyttjande (samt mellan vidareutveckling) mellan svenska infrastrukturer och dess användare.</w:t>
      </w:r>
    </w:p>
    <w:p w14:paraId="098646DE" w14:textId="77777777" w:rsidR="00CD6817" w:rsidRDefault="00545699" w:rsidP="00B30929">
      <w:pPr>
        <w:pStyle w:val="BodyText"/>
        <w:ind w:right="623"/>
      </w:pPr>
      <w:r>
        <w:t xml:space="preserve">Lunds universitet förseslås som huvudman och KTH är en del i </w:t>
      </w:r>
      <w:r w:rsidR="004F5713">
        <w:t>konsortiet</w:t>
      </w:r>
      <w:r>
        <w:t>.</w:t>
      </w:r>
    </w:p>
    <w:p w14:paraId="7F596B97" w14:textId="77777777" w:rsidR="004F5713" w:rsidRDefault="004F5713" w:rsidP="00B30929">
      <w:pPr>
        <w:pStyle w:val="Heading3"/>
        <w:ind w:right="623"/>
      </w:pPr>
    </w:p>
    <w:p w14:paraId="248181DC" w14:textId="77777777" w:rsidR="004F5713" w:rsidRDefault="004F5713" w:rsidP="00B30929">
      <w:pPr>
        <w:pStyle w:val="Heading2"/>
        <w:ind w:right="623"/>
      </w:pPr>
      <w:bookmarkStart w:id="21" w:name="_Toc421108503"/>
      <w:r>
        <w:t xml:space="preserve">NMR for </w:t>
      </w:r>
      <w:r w:rsidRPr="00544EE4">
        <w:t>materials</w:t>
      </w:r>
      <w:bookmarkEnd w:id="21"/>
    </w:p>
    <w:p w14:paraId="175F8E18" w14:textId="77777777" w:rsidR="004F5713" w:rsidRDefault="004F5713" w:rsidP="00B30929">
      <w:pPr>
        <w:pStyle w:val="BodyText"/>
        <w:ind w:right="623"/>
      </w:pPr>
      <w:r>
        <w:t>Infrastrukturen avses bli ett komplement till The Swedish NMR Center (SNC) i Göteborg och Umeå</w:t>
      </w:r>
      <w:r w:rsidR="00D34B54">
        <w:t xml:space="preserve">, som </w:t>
      </w:r>
      <w:r>
        <w:t xml:space="preserve">utökats till att innefatta </w:t>
      </w:r>
      <w:proofErr w:type="gramStart"/>
      <w:r>
        <w:t>även  NMR</w:t>
      </w:r>
      <w:proofErr w:type="gramEnd"/>
      <w:r>
        <w:t>-</w:t>
      </w:r>
      <w:proofErr w:type="spellStart"/>
      <w:r>
        <w:t>based</w:t>
      </w:r>
      <w:proofErr w:type="spellEnd"/>
      <w:r>
        <w:t xml:space="preserve"> </w:t>
      </w:r>
      <w:proofErr w:type="spellStart"/>
      <w:r>
        <w:t>metabolomics</w:t>
      </w:r>
      <w:proofErr w:type="spellEnd"/>
      <w:r>
        <w:t xml:space="preserve"> genom ”NMR for Life”. </w:t>
      </w:r>
    </w:p>
    <w:p w14:paraId="47DAF8E6" w14:textId="77777777" w:rsidR="004F5713" w:rsidRDefault="004F5713" w:rsidP="00B30929">
      <w:pPr>
        <w:pStyle w:val="BodyText"/>
        <w:ind w:right="623"/>
      </w:pPr>
      <w:r>
        <w:t xml:space="preserve">Noder bestående av SU (Mattias Edén), KTH (Istvan </w:t>
      </w:r>
      <w:proofErr w:type="spellStart"/>
      <w:r>
        <w:t>Furó</w:t>
      </w:r>
      <w:proofErr w:type="spellEnd"/>
      <w:r>
        <w:t xml:space="preserve">) och LU (Daniel </w:t>
      </w:r>
      <w:proofErr w:type="spellStart"/>
      <w:r>
        <w:t>Topgaard</w:t>
      </w:r>
      <w:proofErr w:type="spellEnd"/>
      <w:r>
        <w:t>). Eventuel</w:t>
      </w:r>
      <w:r w:rsidR="009876C9">
        <w:t>lt även innefattande SNC i Göteb</w:t>
      </w:r>
      <w:r>
        <w:t>org som en fjärde nod (diskussioner pågår).</w:t>
      </w:r>
    </w:p>
    <w:p w14:paraId="368B62A7" w14:textId="77777777" w:rsidR="0030319A" w:rsidRDefault="0030319A" w:rsidP="00B30929">
      <w:pPr>
        <w:pStyle w:val="BodyText"/>
        <w:ind w:right="623"/>
      </w:pPr>
      <w:r w:rsidRPr="006F446E">
        <w:t xml:space="preserve">Ett nytt och internationellt kraftigt expansivt forskningsområde, framför allt på fasta system, är att öka känsligheten för NMR mätningarna genom att </w:t>
      </w:r>
      <w:proofErr w:type="spellStart"/>
      <w:r w:rsidRPr="006F446E">
        <w:t>utnytta</w:t>
      </w:r>
      <w:proofErr w:type="spellEnd"/>
      <w:r w:rsidRPr="006F446E">
        <w:t xml:space="preserve"> polarisering från omgivande oparade elektroner, s.k. </w:t>
      </w:r>
      <w:proofErr w:type="spellStart"/>
      <w:r w:rsidRPr="006F446E">
        <w:t>dynamic</w:t>
      </w:r>
      <w:proofErr w:type="spellEnd"/>
      <w:r w:rsidRPr="006F446E">
        <w:t xml:space="preserve"> </w:t>
      </w:r>
      <w:proofErr w:type="spellStart"/>
      <w:r w:rsidRPr="006F446E">
        <w:t>nuclear</w:t>
      </w:r>
      <w:proofErr w:type="spellEnd"/>
      <w:r w:rsidRPr="006F446E">
        <w:t xml:space="preserve"> </w:t>
      </w:r>
      <w:proofErr w:type="spellStart"/>
      <w:r w:rsidRPr="006F446E">
        <w:t>polarization</w:t>
      </w:r>
      <w:proofErr w:type="spellEnd"/>
      <w:r w:rsidRPr="006F446E">
        <w:t xml:space="preserve"> (DNP). Metoden är fortfarande under utveckling, men DNP kan sägas lösa den mest problematiska aspekten med fast-fas NMR, nämligen dess relativt låga signal-känslighet som medför tidskrävande mätningar samt relativt stora prov-volymer (~20-1000 mg). DNP/NMR har exempelvis demonstrerats för studier av molekyler som binder till ytor, involverande ”okänsliga” NMR kärnor som annars inte kan studeras med NMR utan kostsam isotop-</w:t>
      </w:r>
      <w:proofErr w:type="spellStart"/>
      <w:r w:rsidRPr="006F446E">
        <w:t>inmärkning</w:t>
      </w:r>
      <w:proofErr w:type="spellEnd"/>
      <w:r w:rsidRPr="006F446E">
        <w:t xml:space="preserve">. Mätningarna kan även då vara högst problematiska och tidskrävande trots utnyttjande av höga </w:t>
      </w:r>
      <w:proofErr w:type="spellStart"/>
      <w:r w:rsidRPr="006F446E">
        <w:t>magentfält</w:t>
      </w:r>
      <w:proofErr w:type="spellEnd"/>
      <w:r w:rsidRPr="006F446E">
        <w:t>.</w:t>
      </w:r>
    </w:p>
    <w:p w14:paraId="1C546501" w14:textId="77777777" w:rsidR="004F5713" w:rsidRDefault="004F5713" w:rsidP="00B30929">
      <w:pPr>
        <w:pStyle w:val="BodyText"/>
        <w:ind w:right="623"/>
      </w:pPr>
      <w:r>
        <w:t xml:space="preserve">A flexible implementation </w:t>
      </w:r>
      <w:proofErr w:type="spellStart"/>
      <w:r>
        <w:t>of</w:t>
      </w:r>
      <w:proofErr w:type="spellEnd"/>
      <w:r>
        <w:t xml:space="preserve"> NMR for </w:t>
      </w:r>
      <w:proofErr w:type="spellStart"/>
      <w:r>
        <w:t>addressing</w:t>
      </w:r>
      <w:proofErr w:type="spellEnd"/>
      <w:r>
        <w:t xml:space="preserve"> </w:t>
      </w:r>
      <w:proofErr w:type="spellStart"/>
      <w:r>
        <w:t>wide</w:t>
      </w:r>
      <w:proofErr w:type="spellEnd"/>
      <w:r>
        <w:t xml:space="preserve"> </w:t>
      </w:r>
      <w:proofErr w:type="spellStart"/>
      <w:r>
        <w:t>groups</w:t>
      </w:r>
      <w:proofErr w:type="spellEnd"/>
      <w:r>
        <w:t xml:space="preserve"> </w:t>
      </w:r>
      <w:proofErr w:type="spellStart"/>
      <w:r>
        <w:t>of</w:t>
      </w:r>
      <w:proofErr w:type="spellEnd"/>
      <w:r>
        <w:t xml:space="preserve"> research problems in Materials Science </w:t>
      </w:r>
      <w:proofErr w:type="spellStart"/>
      <w:r>
        <w:t>requires</w:t>
      </w:r>
      <w:proofErr w:type="spellEnd"/>
      <w:r>
        <w:t xml:space="preserve"> different (non-standard) </w:t>
      </w:r>
      <w:proofErr w:type="spellStart"/>
      <w:r>
        <w:t>types</w:t>
      </w:r>
      <w:proofErr w:type="spellEnd"/>
      <w:r>
        <w:t xml:space="preserve"> </w:t>
      </w:r>
      <w:proofErr w:type="spellStart"/>
      <w:r>
        <w:t>of</w:t>
      </w:r>
      <w:proofErr w:type="spellEnd"/>
      <w:r>
        <w:t xml:space="preserve"> instrumentation, for </w:t>
      </w:r>
      <w:proofErr w:type="spellStart"/>
      <w:r>
        <w:t>instance</w:t>
      </w:r>
      <w:proofErr w:type="spellEnd"/>
      <w:r>
        <w:t xml:space="preserve"> access </w:t>
      </w:r>
      <w:proofErr w:type="spellStart"/>
      <w:r>
        <w:t>to</w:t>
      </w:r>
      <w:proofErr w:type="spellEnd"/>
      <w:r>
        <w:t xml:space="preserve"> strong </w:t>
      </w:r>
      <w:proofErr w:type="spellStart"/>
      <w:r>
        <w:t>magnetic</w:t>
      </w:r>
      <w:proofErr w:type="spellEnd"/>
      <w:r>
        <w:t xml:space="preserve"> </w:t>
      </w:r>
      <w:proofErr w:type="spellStart"/>
      <w:r>
        <w:t>field</w:t>
      </w:r>
      <w:proofErr w:type="spellEnd"/>
      <w:r>
        <w:t xml:space="preserve"> gradient </w:t>
      </w:r>
      <w:proofErr w:type="spellStart"/>
      <w:r>
        <w:t>units</w:t>
      </w:r>
      <w:proofErr w:type="spellEnd"/>
      <w:r>
        <w:t xml:space="preserve"> for </w:t>
      </w:r>
      <w:proofErr w:type="spellStart"/>
      <w:r>
        <w:t>imaging</w:t>
      </w:r>
      <w:proofErr w:type="spellEnd"/>
      <w:r>
        <w:t xml:space="preserve">, </w:t>
      </w:r>
      <w:proofErr w:type="spellStart"/>
      <w:r>
        <w:t>flow</w:t>
      </w:r>
      <w:proofErr w:type="spellEnd"/>
      <w:r>
        <w:t>, and diffusion studies, “</w:t>
      </w:r>
      <w:proofErr w:type="spellStart"/>
      <w:r>
        <w:t>magic</w:t>
      </w:r>
      <w:proofErr w:type="spellEnd"/>
      <w:r>
        <w:t xml:space="preserve"> </w:t>
      </w:r>
      <w:proofErr w:type="spellStart"/>
      <w:r>
        <w:t>angle</w:t>
      </w:r>
      <w:proofErr w:type="spellEnd"/>
      <w:r>
        <w:t xml:space="preserve"> spinning” (MAS) </w:t>
      </w:r>
      <w:proofErr w:type="spellStart"/>
      <w:r>
        <w:t>probeheads</w:t>
      </w:r>
      <w:proofErr w:type="spellEnd"/>
      <w:r>
        <w:t xml:space="preserve"> for studies </w:t>
      </w:r>
      <w:proofErr w:type="spellStart"/>
      <w:r>
        <w:t>of</w:t>
      </w:r>
      <w:proofErr w:type="spellEnd"/>
      <w:r>
        <w:t xml:space="preserve"> </w:t>
      </w:r>
      <w:proofErr w:type="spellStart"/>
      <w:r>
        <w:t>powders</w:t>
      </w:r>
      <w:proofErr w:type="spellEnd"/>
      <w:r>
        <w:t xml:space="preserve">, or instrumentation for </w:t>
      </w:r>
      <w:proofErr w:type="spellStart"/>
      <w:r>
        <w:t>hyperpolarization</w:t>
      </w:r>
      <w:proofErr w:type="spellEnd"/>
      <w:r>
        <w:t xml:space="preserve"> </w:t>
      </w:r>
      <w:proofErr w:type="spellStart"/>
      <w:r>
        <w:t>to</w:t>
      </w:r>
      <w:proofErr w:type="spellEnd"/>
      <w:r>
        <w:t xml:space="preserve"> access the </w:t>
      </w:r>
      <w:proofErr w:type="spellStart"/>
      <w:r>
        <w:t>surfaces</w:t>
      </w:r>
      <w:proofErr w:type="spellEnd"/>
      <w:r>
        <w:t xml:space="preserve"> </w:t>
      </w:r>
      <w:proofErr w:type="spellStart"/>
      <w:r>
        <w:t>of</w:t>
      </w:r>
      <w:proofErr w:type="spellEnd"/>
      <w:r>
        <w:t xml:space="preserve"> </w:t>
      </w:r>
      <w:proofErr w:type="spellStart"/>
      <w:r>
        <w:t>nanoparticles</w:t>
      </w:r>
      <w:proofErr w:type="spellEnd"/>
      <w:r>
        <w:t xml:space="preserve">. </w:t>
      </w:r>
      <w:proofErr w:type="spellStart"/>
      <w:r>
        <w:t>While</w:t>
      </w:r>
      <w:proofErr w:type="spellEnd"/>
      <w:r>
        <w:t xml:space="preserve"> </w:t>
      </w:r>
      <w:proofErr w:type="spellStart"/>
      <w:r>
        <w:t>spectrometers</w:t>
      </w:r>
      <w:proofErr w:type="spellEnd"/>
      <w:r>
        <w:t xml:space="preserve"> for </w:t>
      </w:r>
      <w:proofErr w:type="spellStart"/>
      <w:r>
        <w:t>structural</w:t>
      </w:r>
      <w:proofErr w:type="spellEnd"/>
      <w:r>
        <w:t xml:space="preserve"> </w:t>
      </w:r>
      <w:proofErr w:type="spellStart"/>
      <w:r>
        <w:t>biochemistry</w:t>
      </w:r>
      <w:proofErr w:type="spellEnd"/>
      <w:r>
        <w:t xml:space="preserve"> and </w:t>
      </w:r>
      <w:proofErr w:type="spellStart"/>
      <w:r>
        <w:t>metabolomics</w:t>
      </w:r>
      <w:proofErr w:type="spellEnd"/>
      <w:r>
        <w:t xml:space="preserve"> </w:t>
      </w:r>
      <w:proofErr w:type="spellStart"/>
      <w:r>
        <w:t>are</w:t>
      </w:r>
      <w:proofErr w:type="spellEnd"/>
      <w:r>
        <w:t xml:space="preserve"> </w:t>
      </w:r>
      <w:proofErr w:type="spellStart"/>
      <w:r>
        <w:t>supposed</w:t>
      </w:r>
      <w:proofErr w:type="spellEnd"/>
      <w:r>
        <w:t xml:space="preserve"> </w:t>
      </w:r>
      <w:proofErr w:type="spellStart"/>
      <w:r>
        <w:t>to</w:t>
      </w:r>
      <w:proofErr w:type="spellEnd"/>
      <w:r>
        <w:t xml:space="preserve"> </w:t>
      </w:r>
      <w:proofErr w:type="spellStart"/>
      <w:r>
        <w:t>operate</w:t>
      </w:r>
      <w:proofErr w:type="spellEnd"/>
      <w:r>
        <w:t xml:space="preserve"> under long </w:t>
      </w:r>
      <w:proofErr w:type="spellStart"/>
      <w:r>
        <w:t>time</w:t>
      </w:r>
      <w:proofErr w:type="spellEnd"/>
      <w:r>
        <w:t xml:space="preserve"> </w:t>
      </w:r>
      <w:proofErr w:type="spellStart"/>
      <w:r>
        <w:t>with</w:t>
      </w:r>
      <w:proofErr w:type="spellEnd"/>
      <w:r>
        <w:t xml:space="preserve"> </w:t>
      </w:r>
      <w:proofErr w:type="spellStart"/>
      <w:r>
        <w:t>identical</w:t>
      </w:r>
      <w:proofErr w:type="spellEnd"/>
      <w:r>
        <w:t xml:space="preserve"> instrumental </w:t>
      </w:r>
      <w:proofErr w:type="spellStart"/>
      <w:r>
        <w:t>configuration</w:t>
      </w:r>
      <w:proofErr w:type="spellEnd"/>
      <w:r>
        <w:t xml:space="preserve">, NMR </w:t>
      </w:r>
      <w:proofErr w:type="spellStart"/>
      <w:r>
        <w:t>of</w:t>
      </w:r>
      <w:proofErr w:type="spellEnd"/>
      <w:r>
        <w:t xml:space="preserve"> materials </w:t>
      </w:r>
      <w:proofErr w:type="spellStart"/>
      <w:r>
        <w:t>may</w:t>
      </w:r>
      <w:proofErr w:type="spellEnd"/>
      <w:r>
        <w:t xml:space="preserve"> </w:t>
      </w:r>
      <w:proofErr w:type="spellStart"/>
      <w:r>
        <w:t>require</w:t>
      </w:r>
      <w:proofErr w:type="spellEnd"/>
      <w:r>
        <w:t xml:space="preserve"> </w:t>
      </w:r>
      <w:proofErr w:type="spellStart"/>
      <w:r>
        <w:t>frequent</w:t>
      </w:r>
      <w:proofErr w:type="spellEnd"/>
      <w:r>
        <w:t xml:space="preserve"> hardware </w:t>
      </w:r>
      <w:proofErr w:type="spellStart"/>
      <w:r>
        <w:t>reconfigurations</w:t>
      </w:r>
      <w:proofErr w:type="spellEnd"/>
      <w:r>
        <w:t xml:space="preserve">. In </w:t>
      </w:r>
      <w:proofErr w:type="spellStart"/>
      <w:r>
        <w:t>particular</w:t>
      </w:r>
      <w:proofErr w:type="spellEnd"/>
      <w:r>
        <w:t xml:space="preserve">, </w:t>
      </w:r>
      <w:proofErr w:type="spellStart"/>
      <w:r>
        <w:t>when</w:t>
      </w:r>
      <w:proofErr w:type="spellEnd"/>
      <w:r>
        <w:t xml:space="preserve"> NMR </w:t>
      </w:r>
      <w:proofErr w:type="spellStart"/>
      <w:r>
        <w:t>methods</w:t>
      </w:r>
      <w:proofErr w:type="spellEnd"/>
      <w:r>
        <w:t xml:space="preserve"> </w:t>
      </w:r>
      <w:proofErr w:type="spellStart"/>
      <w:r>
        <w:t>are</w:t>
      </w:r>
      <w:proofErr w:type="spellEnd"/>
      <w:r>
        <w:t xml:space="preserve"> </w:t>
      </w:r>
      <w:proofErr w:type="spellStart"/>
      <w:r>
        <w:t>developed</w:t>
      </w:r>
      <w:proofErr w:type="spellEnd"/>
      <w:r>
        <w:t xml:space="preserve"> </w:t>
      </w:r>
      <w:proofErr w:type="spellStart"/>
      <w:r>
        <w:t>to</w:t>
      </w:r>
      <w:proofErr w:type="spellEnd"/>
      <w:r>
        <w:t xml:space="preserve"> </w:t>
      </w:r>
      <w:proofErr w:type="spellStart"/>
      <w:r>
        <w:t>provide</w:t>
      </w:r>
      <w:proofErr w:type="spellEnd"/>
      <w:r>
        <w:t xml:space="preserve"> </w:t>
      </w:r>
      <w:proofErr w:type="spellStart"/>
      <w:r>
        <w:t>increased</w:t>
      </w:r>
      <w:proofErr w:type="spellEnd"/>
      <w:r>
        <w:t xml:space="preserve"> </w:t>
      </w:r>
      <w:proofErr w:type="spellStart"/>
      <w:r>
        <w:t>contrast</w:t>
      </w:r>
      <w:proofErr w:type="spellEnd"/>
      <w:r>
        <w:t xml:space="preserve"> for MRI (</w:t>
      </w:r>
      <w:proofErr w:type="spellStart"/>
      <w:r>
        <w:t>magnetic</w:t>
      </w:r>
      <w:proofErr w:type="spellEnd"/>
      <w:r>
        <w:t xml:space="preserve"> </w:t>
      </w:r>
      <w:proofErr w:type="spellStart"/>
      <w:r>
        <w:t>resonance</w:t>
      </w:r>
      <w:proofErr w:type="spellEnd"/>
      <w:r>
        <w:t xml:space="preserve"> </w:t>
      </w:r>
      <w:proofErr w:type="spellStart"/>
      <w:r>
        <w:t>imaging</w:t>
      </w:r>
      <w:proofErr w:type="spellEnd"/>
      <w:r>
        <w:t xml:space="preserve">), </w:t>
      </w:r>
      <w:proofErr w:type="spellStart"/>
      <w:r>
        <w:t>clinical</w:t>
      </w:r>
      <w:proofErr w:type="spellEnd"/>
      <w:r>
        <w:t xml:space="preserve"> </w:t>
      </w:r>
      <w:proofErr w:type="spellStart"/>
      <w:r>
        <w:t>imaging</w:t>
      </w:r>
      <w:proofErr w:type="spellEnd"/>
      <w:r>
        <w:t xml:space="preserve"> </w:t>
      </w:r>
      <w:proofErr w:type="spellStart"/>
      <w:r>
        <w:t>units</w:t>
      </w:r>
      <w:proofErr w:type="spellEnd"/>
      <w:r>
        <w:t xml:space="preserve"> </w:t>
      </w:r>
      <w:proofErr w:type="spellStart"/>
      <w:r>
        <w:t>are</w:t>
      </w:r>
      <w:proofErr w:type="spellEnd"/>
      <w:r>
        <w:t xml:space="preserve"> </w:t>
      </w:r>
      <w:proofErr w:type="spellStart"/>
      <w:r>
        <w:t>singularly</w:t>
      </w:r>
      <w:proofErr w:type="spellEnd"/>
      <w:r>
        <w:t xml:space="preserve"> </w:t>
      </w:r>
      <w:proofErr w:type="spellStart"/>
      <w:r>
        <w:t>inflexible</w:t>
      </w:r>
      <w:proofErr w:type="spellEnd"/>
      <w:r>
        <w:t xml:space="preserve">. </w:t>
      </w:r>
      <w:proofErr w:type="spellStart"/>
      <w:r>
        <w:t>Besides</w:t>
      </w:r>
      <w:proofErr w:type="spellEnd"/>
      <w:r>
        <w:t xml:space="preserve"> </w:t>
      </w:r>
      <w:proofErr w:type="spellStart"/>
      <w:r>
        <w:t>employing</w:t>
      </w:r>
      <w:proofErr w:type="spellEnd"/>
      <w:r>
        <w:t xml:space="preserve"> </w:t>
      </w:r>
      <w:proofErr w:type="spellStart"/>
      <w:r>
        <w:t>commercially</w:t>
      </w:r>
      <w:proofErr w:type="spellEnd"/>
      <w:r>
        <w:t xml:space="preserve"> </w:t>
      </w:r>
      <w:proofErr w:type="spellStart"/>
      <w:r>
        <w:t>available</w:t>
      </w:r>
      <w:proofErr w:type="spellEnd"/>
      <w:r>
        <w:t xml:space="preserve"> NMR </w:t>
      </w:r>
      <w:proofErr w:type="spellStart"/>
      <w:r>
        <w:t>equipment</w:t>
      </w:r>
      <w:proofErr w:type="spellEnd"/>
      <w:r>
        <w:t xml:space="preserve">, NMR </w:t>
      </w:r>
      <w:proofErr w:type="spellStart"/>
      <w:r>
        <w:t>often</w:t>
      </w:r>
      <w:proofErr w:type="spellEnd"/>
      <w:r>
        <w:t xml:space="preserve"> </w:t>
      </w:r>
      <w:proofErr w:type="spellStart"/>
      <w:r>
        <w:t>relies</w:t>
      </w:r>
      <w:proofErr w:type="spellEnd"/>
      <w:r>
        <w:t xml:space="preserve"> on </w:t>
      </w:r>
      <w:proofErr w:type="spellStart"/>
      <w:r>
        <w:t>home-built</w:t>
      </w:r>
      <w:proofErr w:type="spellEnd"/>
      <w:r>
        <w:t xml:space="preserve"> </w:t>
      </w:r>
      <w:proofErr w:type="spellStart"/>
      <w:r>
        <w:t>equipment</w:t>
      </w:r>
      <w:proofErr w:type="spellEnd"/>
      <w:r>
        <w:t xml:space="preserve"> </w:t>
      </w:r>
      <w:proofErr w:type="spellStart"/>
      <w:r>
        <w:t>that</w:t>
      </w:r>
      <w:proofErr w:type="spellEnd"/>
      <w:r>
        <w:t xml:space="preserve"> </w:t>
      </w:r>
      <w:proofErr w:type="spellStart"/>
      <w:r>
        <w:t>extends</w:t>
      </w:r>
      <w:proofErr w:type="spellEnd"/>
      <w:r>
        <w:t xml:space="preserve"> the </w:t>
      </w:r>
      <w:proofErr w:type="spellStart"/>
      <w:r>
        <w:t>scope</w:t>
      </w:r>
      <w:proofErr w:type="spellEnd"/>
      <w:r>
        <w:t xml:space="preserve"> </w:t>
      </w:r>
      <w:proofErr w:type="spellStart"/>
      <w:r>
        <w:t>of</w:t>
      </w:r>
      <w:proofErr w:type="spellEnd"/>
      <w:r>
        <w:t xml:space="preserve"> </w:t>
      </w:r>
      <w:r>
        <w:lastRenderedPageBreak/>
        <w:t xml:space="preserve">the </w:t>
      </w:r>
      <w:proofErr w:type="spellStart"/>
      <w:r>
        <w:t>method</w:t>
      </w:r>
      <w:proofErr w:type="spellEnd"/>
      <w:r>
        <w:t xml:space="preserve"> </w:t>
      </w:r>
      <w:proofErr w:type="spellStart"/>
      <w:r>
        <w:t>to</w:t>
      </w:r>
      <w:proofErr w:type="spellEnd"/>
      <w:r>
        <w:t xml:space="preserve"> areas </w:t>
      </w:r>
      <w:proofErr w:type="spellStart"/>
      <w:r>
        <w:t>previously</w:t>
      </w:r>
      <w:proofErr w:type="spellEnd"/>
      <w:r>
        <w:t xml:space="preserve"> not </w:t>
      </w:r>
      <w:proofErr w:type="spellStart"/>
      <w:r>
        <w:t>accessible</w:t>
      </w:r>
      <w:proofErr w:type="spellEnd"/>
      <w:r>
        <w:t xml:space="preserve">. </w:t>
      </w:r>
      <w:proofErr w:type="spellStart"/>
      <w:r>
        <w:t>One</w:t>
      </w:r>
      <w:proofErr w:type="spellEnd"/>
      <w:r>
        <w:t xml:space="preserve"> </w:t>
      </w:r>
      <w:proofErr w:type="spellStart"/>
      <w:r>
        <w:t>example</w:t>
      </w:r>
      <w:proofErr w:type="spellEnd"/>
      <w:r>
        <w:t xml:space="preserve"> is </w:t>
      </w:r>
      <w:proofErr w:type="spellStart"/>
      <w:r>
        <w:t>electrophoretic</w:t>
      </w:r>
      <w:proofErr w:type="spellEnd"/>
      <w:r>
        <w:t xml:space="preserve"> NMR </w:t>
      </w:r>
      <w:proofErr w:type="spellStart"/>
      <w:r>
        <w:t>spectroscopy</w:t>
      </w:r>
      <w:proofErr w:type="spellEnd"/>
      <w:r>
        <w:t xml:space="preserve"> </w:t>
      </w:r>
      <w:proofErr w:type="spellStart"/>
      <w:r>
        <w:t>that</w:t>
      </w:r>
      <w:proofErr w:type="spellEnd"/>
      <w:r>
        <w:t xml:space="preserve"> </w:t>
      </w:r>
      <w:proofErr w:type="spellStart"/>
      <w:r>
        <w:t>was</w:t>
      </w:r>
      <w:proofErr w:type="spellEnd"/>
      <w:r>
        <w:t xml:space="preserve"> </w:t>
      </w:r>
      <w:proofErr w:type="spellStart"/>
      <w:r>
        <w:t>successfully</w:t>
      </w:r>
      <w:proofErr w:type="spellEnd"/>
      <w:r>
        <w:t xml:space="preserve"> </w:t>
      </w:r>
      <w:proofErr w:type="spellStart"/>
      <w:r>
        <w:t>developed</w:t>
      </w:r>
      <w:proofErr w:type="spellEnd"/>
      <w:r>
        <w:t xml:space="preserve"> at KTH.</w:t>
      </w:r>
      <w:r w:rsidRPr="00EA62E8">
        <w:t xml:space="preserve"> </w:t>
      </w:r>
    </w:p>
    <w:p w14:paraId="6CB3A403" w14:textId="77777777" w:rsidR="004F5713" w:rsidRDefault="0030319A" w:rsidP="00B30929">
      <w:pPr>
        <w:pStyle w:val="BodyText"/>
        <w:ind w:right="623"/>
      </w:pPr>
      <w:r>
        <w:t>Investeringskostnaden för ett kombinerat DNP/NMR system är ca 15 – 20 mkr.</w:t>
      </w:r>
      <w:r w:rsidRPr="00D441AB">
        <w:t xml:space="preserve"> </w:t>
      </w:r>
    </w:p>
    <w:p w14:paraId="42A80053" w14:textId="77777777" w:rsidR="004F5713" w:rsidRDefault="0030319A" w:rsidP="00B30929">
      <w:pPr>
        <w:pStyle w:val="BodyText"/>
        <w:ind w:right="623"/>
      </w:pPr>
      <w:r w:rsidRPr="0030319A">
        <w:t>SU föreslås vara huvudansökande</w:t>
      </w:r>
      <w:r w:rsidR="009876C9">
        <w:t>. Övriga deltagande universitet: KTH, LU och eventuellt GU (SNC)</w:t>
      </w:r>
    </w:p>
    <w:p w14:paraId="42214618" w14:textId="77777777" w:rsidR="005C57D9" w:rsidRDefault="005C57D9" w:rsidP="00B30929">
      <w:pPr>
        <w:pStyle w:val="BodyText"/>
        <w:ind w:right="623"/>
      </w:pPr>
    </w:p>
    <w:p w14:paraId="118AEDAC" w14:textId="77777777" w:rsidR="005C57D9" w:rsidRDefault="005C57D9" w:rsidP="00B30929">
      <w:pPr>
        <w:pStyle w:val="Heading2"/>
        <w:ind w:right="623"/>
      </w:pPr>
      <w:bookmarkStart w:id="22" w:name="_Toc421108504"/>
      <w:r>
        <w:t>Nationella Geosfärslaboratoriet (NGL)</w:t>
      </w:r>
      <w:bookmarkEnd w:id="22"/>
    </w:p>
    <w:p w14:paraId="19CCA8FE" w14:textId="77777777" w:rsidR="005C57D9" w:rsidRDefault="005C57D9" w:rsidP="00B30929">
      <w:pPr>
        <w:pStyle w:val="BodyText"/>
        <w:spacing w:after="0"/>
        <w:ind w:right="623"/>
      </w:pPr>
      <w:r>
        <w:t>Ett nationellt geovetenskapligt laboratorium diskuteras för utnyttjande av SKBs forskningsdatabas,</w:t>
      </w:r>
    </w:p>
    <w:p w14:paraId="5B7BD304" w14:textId="77777777" w:rsidR="005C57D9" w:rsidRDefault="005C57D9" w:rsidP="00B30929">
      <w:pPr>
        <w:pStyle w:val="BodyText"/>
        <w:spacing w:after="0"/>
        <w:ind w:right="623"/>
      </w:pPr>
      <w:r>
        <w:t>SKBs forskningstunnel, samt övriga forskningsfaciliteter i land- och kustområden</w:t>
      </w:r>
    </w:p>
    <w:p w14:paraId="385B29E1" w14:textId="77777777" w:rsidR="005C57D9" w:rsidRDefault="005C57D9" w:rsidP="00B30929">
      <w:pPr>
        <w:pStyle w:val="BodyText"/>
        <w:spacing w:after="0"/>
        <w:ind w:right="623"/>
      </w:pPr>
      <w:r>
        <w:t xml:space="preserve">runt </w:t>
      </w:r>
      <w:proofErr w:type="spellStart"/>
      <w:r>
        <w:t>Äspö</w:t>
      </w:r>
      <w:proofErr w:type="spellEnd"/>
      <w:r>
        <w:t>. Databasen omfattar i dag mer än 400 miljoner geo-, miljö- och klimatdata. RFI har</w:t>
      </w:r>
    </w:p>
    <w:p w14:paraId="1C626605" w14:textId="77777777" w:rsidR="005C57D9" w:rsidRDefault="005C57D9" w:rsidP="00B30929">
      <w:pPr>
        <w:pStyle w:val="BodyText"/>
        <w:spacing w:after="0"/>
        <w:ind w:right="623"/>
      </w:pPr>
      <w:r>
        <w:t>gett planeringsbidrag för utveckling av NGL som helhet, detta har letts och koordinerats av</w:t>
      </w:r>
    </w:p>
    <w:p w14:paraId="05F09A06" w14:textId="77777777" w:rsidR="005C57D9" w:rsidRDefault="005C57D9" w:rsidP="00B30929">
      <w:pPr>
        <w:pStyle w:val="BodyText"/>
        <w:spacing w:after="0"/>
        <w:ind w:right="623"/>
      </w:pPr>
      <w:r>
        <w:t xml:space="preserve">SU. </w:t>
      </w:r>
    </w:p>
    <w:p w14:paraId="7A51813D" w14:textId="77777777" w:rsidR="002F1EB0" w:rsidRDefault="002F1EB0" w:rsidP="00B30929">
      <w:pPr>
        <w:pStyle w:val="BodyText"/>
        <w:spacing w:after="0"/>
        <w:ind w:right="623"/>
      </w:pPr>
    </w:p>
    <w:p w14:paraId="23D7EFAE" w14:textId="77777777" w:rsidR="002F1EB0" w:rsidRPr="004F5713" w:rsidRDefault="002F1EB0" w:rsidP="00B30929">
      <w:pPr>
        <w:pStyle w:val="BodyText"/>
        <w:spacing w:after="0"/>
        <w:ind w:right="623"/>
      </w:pPr>
      <w:r>
        <w:t>SU föreslås vara huvudsökande, KTH ingår som part i konsortiet.</w:t>
      </w:r>
    </w:p>
    <w:sectPr w:rsidR="002F1EB0" w:rsidRPr="004F5713" w:rsidSect="00F91257">
      <w:headerReference w:type="default" r:id="rId16"/>
      <w:footerReference w:type="default" r:id="rId17"/>
      <w:headerReference w:type="first" r:id="rId18"/>
      <w:footerReference w:type="first" r:id="rId19"/>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6AD8C" w14:textId="77777777" w:rsidR="00B30929" w:rsidRDefault="00B30929" w:rsidP="00AB37AC">
      <w:r>
        <w:separator/>
      </w:r>
    </w:p>
  </w:endnote>
  <w:endnote w:type="continuationSeparator" w:id="0">
    <w:p w14:paraId="4F35537C" w14:textId="77777777" w:rsidR="00B30929" w:rsidRDefault="00B30929"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B30929" w14:paraId="644911A2" w14:textId="77777777" w:rsidTr="00B43308">
      <w:tc>
        <w:tcPr>
          <w:tcW w:w="7994" w:type="dxa"/>
        </w:tcPr>
        <w:p w14:paraId="12614FAC" w14:textId="77777777" w:rsidR="00B30929" w:rsidRDefault="00B30929" w:rsidP="00B43308">
          <w:pPr>
            <w:pStyle w:val="Footer"/>
          </w:pPr>
        </w:p>
      </w:tc>
      <w:tc>
        <w:tcPr>
          <w:tcW w:w="1134" w:type="dxa"/>
          <w:vAlign w:val="bottom"/>
        </w:tcPr>
        <w:p w14:paraId="3A3A2924" w14:textId="77777777" w:rsidR="00B30929" w:rsidRPr="009E4316" w:rsidRDefault="00B30929" w:rsidP="00B43308">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15001">
            <w:rPr>
              <w:rStyle w:val="PageNumber"/>
              <w:noProof/>
            </w:rPr>
            <w:t>3</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15001">
            <w:rPr>
              <w:rStyle w:val="PageNumber"/>
              <w:noProof/>
            </w:rPr>
            <w:t>12</w:t>
          </w:r>
          <w:r w:rsidRPr="009E4316">
            <w:rPr>
              <w:rStyle w:val="PageNumber"/>
            </w:rPr>
            <w:fldChar w:fldCharType="end"/>
          </w:r>
          <w:r w:rsidRPr="009E4316">
            <w:rPr>
              <w:rStyle w:val="PageNumber"/>
            </w:rPr>
            <w:t>)</w:t>
          </w:r>
        </w:p>
      </w:tc>
    </w:tr>
  </w:tbl>
  <w:p w14:paraId="62365F99" w14:textId="77777777" w:rsidR="00B30929" w:rsidRPr="00DB69BA" w:rsidRDefault="00B30929" w:rsidP="006A7494">
    <w:pPr>
      <w:rPr>
        <w:sz w:val="2"/>
        <w:szCs w:val="2"/>
      </w:rPr>
    </w:pPr>
  </w:p>
  <w:p w14:paraId="5AFE5210" w14:textId="77777777" w:rsidR="00B30929" w:rsidRDefault="00B30929"/>
  <w:p w14:paraId="699F15B6" w14:textId="77777777" w:rsidR="00B30929" w:rsidRDefault="00B309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B30929" w14:paraId="4F622A14" w14:textId="77777777" w:rsidTr="00B43308">
      <w:tc>
        <w:tcPr>
          <w:tcW w:w="7994" w:type="dxa"/>
        </w:tcPr>
        <w:p w14:paraId="2F4D265A" w14:textId="77777777" w:rsidR="00B30929" w:rsidRDefault="00B30929" w:rsidP="00B43308">
          <w:pPr>
            <w:pStyle w:val="Footer"/>
          </w:pPr>
        </w:p>
      </w:tc>
      <w:tc>
        <w:tcPr>
          <w:tcW w:w="1134" w:type="dxa"/>
          <w:vAlign w:val="bottom"/>
        </w:tcPr>
        <w:p w14:paraId="3DC5267C" w14:textId="77777777" w:rsidR="00B30929" w:rsidRPr="009E4316" w:rsidRDefault="00B30929" w:rsidP="00B43308">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15001">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15001">
            <w:rPr>
              <w:rStyle w:val="PageNumber"/>
              <w:noProof/>
            </w:rPr>
            <w:t>12</w:t>
          </w:r>
          <w:r w:rsidRPr="009E4316">
            <w:rPr>
              <w:rStyle w:val="PageNumber"/>
            </w:rPr>
            <w:fldChar w:fldCharType="end"/>
          </w:r>
          <w:r w:rsidRPr="009E4316">
            <w:rPr>
              <w:rStyle w:val="PageNumber"/>
            </w:rPr>
            <w:t>)</w:t>
          </w:r>
        </w:p>
      </w:tc>
    </w:tr>
  </w:tbl>
  <w:p w14:paraId="03F5229A" w14:textId="77777777" w:rsidR="00B30929" w:rsidRPr="00DB69BA" w:rsidRDefault="00B30929" w:rsidP="006A7494">
    <w:pPr>
      <w:rPr>
        <w:sz w:val="2"/>
        <w:szCs w:val="2"/>
      </w:rPr>
    </w:pPr>
  </w:p>
  <w:p w14:paraId="6E3D1F8C" w14:textId="77777777" w:rsidR="00B30929" w:rsidRDefault="00B30929"/>
  <w:p w14:paraId="39F02124" w14:textId="77777777" w:rsidR="00B30929" w:rsidRDefault="00B309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2BD0E" w14:textId="77777777" w:rsidR="00B30929" w:rsidRDefault="00B30929" w:rsidP="00AB37AC">
      <w:r>
        <w:separator/>
      </w:r>
    </w:p>
  </w:footnote>
  <w:footnote w:type="continuationSeparator" w:id="0">
    <w:p w14:paraId="2A096475" w14:textId="77777777" w:rsidR="00B30929" w:rsidRDefault="00B30929" w:rsidP="00AB37AC">
      <w:r>
        <w:continuationSeparator/>
      </w:r>
    </w:p>
  </w:footnote>
  <w:footnote w:id="1">
    <w:p w14:paraId="09A91F4E" w14:textId="77777777" w:rsidR="00B30929" w:rsidRPr="001133C1" w:rsidRDefault="00B30929" w:rsidP="00CA4F00">
      <w:pPr>
        <w:pStyle w:val="FootnoteText"/>
        <w:rPr>
          <w:lang w:val="en-GB"/>
        </w:rPr>
      </w:pPr>
      <w:r w:rsidRPr="001133C1">
        <w:rPr>
          <w:rStyle w:val="FootnoteReference"/>
          <w:lang w:val="en-GB"/>
        </w:rPr>
        <w:footnoteRef/>
      </w:r>
      <w:r>
        <w:rPr>
          <w:lang w:val="en-GB"/>
        </w:rPr>
        <w:t xml:space="preserve"> </w:t>
      </w:r>
      <w:proofErr w:type="gramStart"/>
      <w:r>
        <w:rPr>
          <w:sz w:val="18"/>
          <w:szCs w:val="18"/>
          <w:lang w:val="en-GB"/>
        </w:rPr>
        <w:t>“Ev</w:t>
      </w:r>
      <w:r w:rsidRPr="001133C1">
        <w:rPr>
          <w:sz w:val="18"/>
          <w:szCs w:val="18"/>
          <w:lang w:val="en-GB"/>
        </w:rPr>
        <w:t>aluation of Swedish research in mechanical engineering</w:t>
      </w:r>
      <w:r>
        <w:rPr>
          <w:sz w:val="18"/>
          <w:szCs w:val="18"/>
          <w:lang w:val="en-GB"/>
        </w:rPr>
        <w:t>”</w:t>
      </w:r>
      <w:r w:rsidRPr="001133C1">
        <w:rPr>
          <w:sz w:val="18"/>
          <w:szCs w:val="18"/>
          <w:lang w:val="en-GB"/>
        </w:rPr>
        <w:t>.</w:t>
      </w:r>
      <w:proofErr w:type="gramEnd"/>
      <w:r w:rsidRPr="001133C1">
        <w:rPr>
          <w:sz w:val="18"/>
          <w:szCs w:val="18"/>
          <w:lang w:val="en-GB"/>
        </w:rPr>
        <w:t xml:space="preserve"> </w:t>
      </w:r>
      <w:proofErr w:type="spellStart"/>
      <w:r w:rsidRPr="001133C1">
        <w:rPr>
          <w:i/>
          <w:sz w:val="18"/>
          <w:szCs w:val="18"/>
          <w:lang w:val="en-GB"/>
        </w:rPr>
        <w:t>Vetenskapsrådets</w:t>
      </w:r>
      <w:proofErr w:type="spellEnd"/>
      <w:r w:rsidRPr="001133C1">
        <w:rPr>
          <w:i/>
          <w:sz w:val="18"/>
          <w:szCs w:val="18"/>
          <w:lang w:val="en-GB"/>
        </w:rPr>
        <w:t xml:space="preserve"> </w:t>
      </w:r>
      <w:proofErr w:type="spellStart"/>
      <w:r w:rsidRPr="001133C1">
        <w:rPr>
          <w:i/>
          <w:sz w:val="18"/>
          <w:szCs w:val="18"/>
          <w:lang w:val="en-GB"/>
        </w:rPr>
        <w:t>rapportserie</w:t>
      </w:r>
      <w:proofErr w:type="spellEnd"/>
      <w:r w:rsidRPr="001133C1">
        <w:rPr>
          <w:i/>
          <w:sz w:val="18"/>
          <w:szCs w:val="18"/>
          <w:lang w:val="en-GB"/>
        </w:rPr>
        <w:t xml:space="preserve"> 1:2013.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B30929" w14:paraId="7F6BF37C" w14:textId="77777777" w:rsidTr="00916344">
      <w:trPr>
        <w:trHeight w:val="238"/>
      </w:trPr>
      <w:tc>
        <w:tcPr>
          <w:tcW w:w="4740" w:type="dxa"/>
        </w:tcPr>
        <w:p w14:paraId="1F6E7078" w14:textId="77777777" w:rsidR="00B30929" w:rsidRPr="00271F0E" w:rsidRDefault="00B30929" w:rsidP="00B43308">
          <w:pPr>
            <w:pStyle w:val="HeaderBold"/>
          </w:pPr>
          <w:r w:rsidRPr="00E37F8B">
            <w:rPr>
              <w:caps/>
            </w:rPr>
            <w:t>Rapport</w:t>
          </w:r>
        </w:p>
      </w:tc>
      <w:tc>
        <w:tcPr>
          <w:tcW w:w="226" w:type="dxa"/>
        </w:tcPr>
        <w:p w14:paraId="6ADD8069" w14:textId="77777777" w:rsidR="00B30929" w:rsidRPr="00271F0E" w:rsidRDefault="00B30929" w:rsidP="00B43308">
          <w:pPr>
            <w:pStyle w:val="HeaderBold"/>
          </w:pPr>
        </w:p>
      </w:tc>
      <w:tc>
        <w:tcPr>
          <w:tcW w:w="1962" w:type="dxa"/>
        </w:tcPr>
        <w:p w14:paraId="4E942DA9" w14:textId="77777777" w:rsidR="00B30929" w:rsidRPr="00271F0E" w:rsidRDefault="00B30929" w:rsidP="00B43308">
          <w:pPr>
            <w:pStyle w:val="HeaderBold"/>
          </w:pPr>
          <w:r>
            <w:t>Dokumentdatum</w:t>
          </w:r>
        </w:p>
      </w:tc>
      <w:tc>
        <w:tcPr>
          <w:tcW w:w="226" w:type="dxa"/>
        </w:tcPr>
        <w:p w14:paraId="25A88D6E" w14:textId="77777777" w:rsidR="00B30929" w:rsidRPr="00271F0E" w:rsidRDefault="00B30929" w:rsidP="00B43308">
          <w:pPr>
            <w:pStyle w:val="HeaderBold"/>
          </w:pPr>
        </w:p>
      </w:tc>
      <w:tc>
        <w:tcPr>
          <w:tcW w:w="1962" w:type="dxa"/>
        </w:tcPr>
        <w:p w14:paraId="4E46710E" w14:textId="77777777" w:rsidR="00B30929" w:rsidRPr="00271F0E" w:rsidRDefault="00B30929" w:rsidP="00B43308">
          <w:pPr>
            <w:pStyle w:val="HeaderBold"/>
          </w:pPr>
          <w:r>
            <w:t>Ev. diarienummer</w:t>
          </w:r>
        </w:p>
      </w:tc>
    </w:tr>
    <w:tr w:rsidR="00B30929" w14:paraId="63484D07" w14:textId="77777777" w:rsidTr="00B43308">
      <w:tc>
        <w:tcPr>
          <w:tcW w:w="4740" w:type="dxa"/>
        </w:tcPr>
        <w:p w14:paraId="6B68CE3C" w14:textId="77777777" w:rsidR="00B30929" w:rsidRPr="00D6309B" w:rsidRDefault="00B30929" w:rsidP="00B43308">
          <w:pPr>
            <w:pStyle w:val="Header"/>
          </w:pPr>
        </w:p>
      </w:tc>
      <w:tc>
        <w:tcPr>
          <w:tcW w:w="226" w:type="dxa"/>
        </w:tcPr>
        <w:p w14:paraId="2EBCCD1B" w14:textId="77777777" w:rsidR="00B30929" w:rsidRPr="00D6309B" w:rsidRDefault="00B30929" w:rsidP="00B43308">
          <w:pPr>
            <w:pStyle w:val="Header"/>
          </w:pPr>
        </w:p>
      </w:tc>
      <w:tc>
        <w:tcPr>
          <w:tcW w:w="1962" w:type="dxa"/>
        </w:tcPr>
        <w:p w14:paraId="1C1561A6" w14:textId="7AF8C197" w:rsidR="00B30929" w:rsidRPr="00D6309B" w:rsidRDefault="00574F37" w:rsidP="00F03D2B">
          <w:pPr>
            <w:pStyle w:val="Header"/>
          </w:pPr>
          <w:fldSimple w:instr=" REF bkmDokDtm ">
            <w:r w:rsidR="00B30929">
              <w:t>2015-06-0</w:t>
            </w:r>
            <w:r w:rsidR="00F03D2B">
              <w:t>3</w:t>
            </w:r>
            <w:r w:rsidR="00B30929">
              <w:t xml:space="preserve"> </w:t>
            </w:r>
          </w:fldSimple>
        </w:p>
      </w:tc>
      <w:tc>
        <w:tcPr>
          <w:tcW w:w="226" w:type="dxa"/>
        </w:tcPr>
        <w:p w14:paraId="7B4FD2CD" w14:textId="77777777" w:rsidR="00B30929" w:rsidRPr="00D6309B" w:rsidRDefault="00B30929" w:rsidP="00B43308">
          <w:pPr>
            <w:pStyle w:val="Header"/>
          </w:pPr>
        </w:p>
      </w:tc>
      <w:tc>
        <w:tcPr>
          <w:tcW w:w="1962" w:type="dxa"/>
        </w:tcPr>
        <w:p w14:paraId="4056F6D6" w14:textId="77777777" w:rsidR="00B30929" w:rsidRPr="00D6309B" w:rsidRDefault="00574F37" w:rsidP="00B43308">
          <w:pPr>
            <w:pStyle w:val="Header"/>
          </w:pPr>
          <w:fldSimple w:instr=" REF bkmDnr ">
            <w:r w:rsidR="00B30929" w:rsidRPr="00125E14">
              <w:rPr>
                <w:rStyle w:val="PlaceholderText"/>
              </w:rPr>
              <w:t>X-ÅÅÅÅ-XXXX</w:t>
            </w:r>
            <w:r w:rsidR="00B30929">
              <w:t xml:space="preserve"> </w:t>
            </w:r>
          </w:fldSimple>
        </w:p>
      </w:tc>
    </w:tr>
    <w:tr w:rsidR="00B30929" w14:paraId="47BB5AD5" w14:textId="77777777" w:rsidTr="00916344">
      <w:trPr>
        <w:trHeight w:val="238"/>
      </w:trPr>
      <w:tc>
        <w:tcPr>
          <w:tcW w:w="9116" w:type="dxa"/>
          <w:gridSpan w:val="5"/>
        </w:tcPr>
        <w:p w14:paraId="67BFE4DA" w14:textId="77777777" w:rsidR="00B30929" w:rsidRPr="006A7494" w:rsidRDefault="00B30929" w:rsidP="006A7494">
          <w:pPr>
            <w:pStyle w:val="HeaderBold"/>
          </w:pPr>
        </w:p>
      </w:tc>
    </w:tr>
    <w:tr w:rsidR="00B30929" w14:paraId="69FA0750" w14:textId="77777777" w:rsidTr="00B43308">
      <w:tc>
        <w:tcPr>
          <w:tcW w:w="9116" w:type="dxa"/>
          <w:gridSpan w:val="5"/>
        </w:tcPr>
        <w:p w14:paraId="79987CD6" w14:textId="77777777" w:rsidR="00B30929" w:rsidRPr="006A7494" w:rsidRDefault="00B30929" w:rsidP="006A7494">
          <w:pPr>
            <w:pStyle w:val="Header"/>
          </w:pPr>
        </w:p>
      </w:tc>
    </w:tr>
  </w:tbl>
  <w:p w14:paraId="37F785B8" w14:textId="77777777" w:rsidR="00B30929" w:rsidRPr="00D6309B" w:rsidRDefault="00B30929" w:rsidP="006A7494">
    <w:pPr>
      <w:pStyle w:val="Header"/>
    </w:pPr>
  </w:p>
  <w:p w14:paraId="2DD1AEC6" w14:textId="77777777" w:rsidR="00B30929" w:rsidRDefault="00B30929"/>
  <w:p w14:paraId="602AADFB" w14:textId="77777777" w:rsidR="00B30929" w:rsidRDefault="00B309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B30929" w14:paraId="178DE94C" w14:textId="77777777" w:rsidTr="0036126D">
      <w:trPr>
        <w:trHeight w:val="238"/>
      </w:trPr>
      <w:tc>
        <w:tcPr>
          <w:tcW w:w="3521" w:type="dxa"/>
          <w:vMerge w:val="restart"/>
        </w:tcPr>
        <w:p w14:paraId="7EB50463" w14:textId="77777777" w:rsidR="00B30929" w:rsidRDefault="00B30929" w:rsidP="00B43308">
          <w:pPr>
            <w:pStyle w:val="Header"/>
            <w:spacing w:before="60"/>
            <w:rPr>
              <w:b/>
            </w:rPr>
          </w:pPr>
          <w:r>
            <w:rPr>
              <w:noProof/>
              <w:lang w:eastAsia="sv-SE"/>
            </w:rPr>
            <w:drawing>
              <wp:inline distT="0" distB="0" distL="0" distR="0" wp14:anchorId="04C06D8A" wp14:editId="6536FD87">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1765483" w14:textId="77777777" w:rsidR="00B30929" w:rsidRPr="00E37F8B" w:rsidRDefault="00B30929" w:rsidP="00B43308">
          <w:pPr>
            <w:pStyle w:val="HeaderBold"/>
            <w:rPr>
              <w:caps/>
            </w:rPr>
          </w:pPr>
          <w:r w:rsidRPr="00E37F8B">
            <w:rPr>
              <w:caps/>
            </w:rPr>
            <w:t>Rapport</w:t>
          </w:r>
        </w:p>
      </w:tc>
      <w:tc>
        <w:tcPr>
          <w:tcW w:w="226" w:type="dxa"/>
        </w:tcPr>
        <w:p w14:paraId="3394D386" w14:textId="77777777" w:rsidR="00B30929" w:rsidRPr="006A7494" w:rsidRDefault="00B30929" w:rsidP="00B43308">
          <w:pPr>
            <w:pStyle w:val="HeaderBold"/>
          </w:pPr>
        </w:p>
      </w:tc>
      <w:tc>
        <w:tcPr>
          <w:tcW w:w="1962" w:type="dxa"/>
        </w:tcPr>
        <w:p w14:paraId="6F837C6B" w14:textId="77777777" w:rsidR="00B30929" w:rsidRPr="006A7494" w:rsidRDefault="00B30929" w:rsidP="00B43308">
          <w:pPr>
            <w:pStyle w:val="HeaderBold"/>
          </w:pPr>
          <w:r>
            <w:t>Dokumentdatum</w:t>
          </w:r>
        </w:p>
      </w:tc>
      <w:tc>
        <w:tcPr>
          <w:tcW w:w="226" w:type="dxa"/>
        </w:tcPr>
        <w:p w14:paraId="2248F7D1" w14:textId="77777777" w:rsidR="00B30929" w:rsidRPr="006A7494" w:rsidRDefault="00B30929" w:rsidP="00B43308">
          <w:pPr>
            <w:pStyle w:val="HeaderBold"/>
          </w:pPr>
        </w:p>
      </w:tc>
      <w:tc>
        <w:tcPr>
          <w:tcW w:w="1962" w:type="dxa"/>
        </w:tcPr>
        <w:p w14:paraId="6457CE30" w14:textId="77777777" w:rsidR="00B30929" w:rsidRPr="006A7494" w:rsidRDefault="00B30929" w:rsidP="00B43308">
          <w:pPr>
            <w:pStyle w:val="HeaderBold"/>
          </w:pPr>
          <w:r>
            <w:t>Ev. diarienummer</w:t>
          </w:r>
        </w:p>
      </w:tc>
    </w:tr>
    <w:tr w:rsidR="00B30929" w14:paraId="7325D800" w14:textId="77777777" w:rsidTr="0036126D">
      <w:tc>
        <w:tcPr>
          <w:tcW w:w="3521" w:type="dxa"/>
          <w:vMerge/>
        </w:tcPr>
        <w:p w14:paraId="3A3BC4A1" w14:textId="77777777" w:rsidR="00B30929" w:rsidRDefault="00B30929" w:rsidP="00B43308">
          <w:pPr>
            <w:pStyle w:val="Header"/>
            <w:rPr>
              <w:b/>
            </w:rPr>
          </w:pPr>
        </w:p>
      </w:tc>
      <w:tc>
        <w:tcPr>
          <w:tcW w:w="1956" w:type="dxa"/>
          <w:tcBorders>
            <w:bottom w:val="single" w:sz="4" w:space="0" w:color="auto"/>
          </w:tcBorders>
        </w:tcPr>
        <w:p w14:paraId="21F31AEC" w14:textId="77777777" w:rsidR="00B30929" w:rsidRPr="00125E14" w:rsidRDefault="00B30929" w:rsidP="00B43308">
          <w:pPr>
            <w:pStyle w:val="Header"/>
          </w:pPr>
        </w:p>
      </w:tc>
      <w:tc>
        <w:tcPr>
          <w:tcW w:w="226" w:type="dxa"/>
        </w:tcPr>
        <w:p w14:paraId="065C9FB0" w14:textId="77777777" w:rsidR="00B30929" w:rsidRPr="00125E14" w:rsidRDefault="00B30929" w:rsidP="00B43308">
          <w:pPr>
            <w:pStyle w:val="Header"/>
          </w:pPr>
        </w:p>
      </w:tc>
      <w:tc>
        <w:tcPr>
          <w:tcW w:w="1962" w:type="dxa"/>
          <w:tcBorders>
            <w:bottom w:val="single" w:sz="4" w:space="0" w:color="auto"/>
          </w:tcBorders>
        </w:tcPr>
        <w:p w14:paraId="2A66CF26" w14:textId="71B382BB" w:rsidR="00B30929" w:rsidRPr="00CF3183" w:rsidRDefault="00515001" w:rsidP="00F03D2B">
          <w:pPr>
            <w:pStyle w:val="Header"/>
          </w:pPr>
          <w:sdt>
            <w:sdtPr>
              <w:id w:val="1394317134"/>
            </w:sdtPr>
            <w:sdtEndPr/>
            <w:sdtContent>
              <w:bookmarkStart w:id="23" w:name="bkmDokDtm"/>
              <w:r w:rsidR="00B30929">
                <w:t>2015-06-0</w:t>
              </w:r>
              <w:r w:rsidR="00F03D2B">
                <w:t>3</w:t>
              </w:r>
            </w:sdtContent>
          </w:sdt>
          <w:bookmarkEnd w:id="23"/>
        </w:p>
      </w:tc>
      <w:tc>
        <w:tcPr>
          <w:tcW w:w="226" w:type="dxa"/>
        </w:tcPr>
        <w:p w14:paraId="45259EB9" w14:textId="77777777" w:rsidR="00B30929" w:rsidRPr="00CF3183" w:rsidRDefault="00B30929" w:rsidP="00B43308">
          <w:pPr>
            <w:pStyle w:val="Header"/>
            <w:rPr>
              <w:lang w:val="en-US"/>
            </w:rPr>
          </w:pPr>
        </w:p>
      </w:tc>
      <w:tc>
        <w:tcPr>
          <w:tcW w:w="1962" w:type="dxa"/>
          <w:tcBorders>
            <w:bottom w:val="single" w:sz="4" w:space="0" w:color="auto"/>
          </w:tcBorders>
        </w:tcPr>
        <w:p w14:paraId="4F4708B5" w14:textId="77777777" w:rsidR="00B30929" w:rsidRPr="00125E14" w:rsidRDefault="00515001" w:rsidP="00B43308">
          <w:pPr>
            <w:pStyle w:val="Header"/>
          </w:pPr>
          <w:sdt>
            <w:sdtPr>
              <w:id w:val="1722252901"/>
              <w:showingPlcHdr/>
            </w:sdtPr>
            <w:sdtEndPr/>
            <w:sdtContent>
              <w:bookmarkStart w:id="24" w:name="bkmDnr"/>
              <w:r w:rsidR="00B30929" w:rsidRPr="00125E14">
                <w:rPr>
                  <w:rStyle w:val="PlaceholderText"/>
                </w:rPr>
                <w:t>X-ÅÅÅÅ-XXXX</w:t>
              </w:r>
            </w:sdtContent>
          </w:sdt>
          <w:r w:rsidR="00B30929">
            <w:t xml:space="preserve"> </w:t>
          </w:r>
          <w:bookmarkEnd w:id="24"/>
        </w:p>
      </w:tc>
    </w:tr>
    <w:tr w:rsidR="00B30929" w14:paraId="299FA688" w14:textId="77777777" w:rsidTr="0036126D">
      <w:trPr>
        <w:trHeight w:val="238"/>
      </w:trPr>
      <w:tc>
        <w:tcPr>
          <w:tcW w:w="3521" w:type="dxa"/>
          <w:vMerge/>
        </w:tcPr>
        <w:p w14:paraId="0DDC6673" w14:textId="77777777" w:rsidR="00B30929" w:rsidRDefault="00B30929" w:rsidP="00B43308">
          <w:pPr>
            <w:pStyle w:val="Header"/>
            <w:rPr>
              <w:b/>
            </w:rPr>
          </w:pPr>
        </w:p>
      </w:tc>
      <w:tc>
        <w:tcPr>
          <w:tcW w:w="1956" w:type="dxa"/>
          <w:tcBorders>
            <w:top w:val="single" w:sz="4" w:space="0" w:color="auto"/>
          </w:tcBorders>
        </w:tcPr>
        <w:p w14:paraId="5B52F35C" w14:textId="77777777" w:rsidR="00B30929" w:rsidRPr="006A7494" w:rsidRDefault="00B30929" w:rsidP="00B43308">
          <w:pPr>
            <w:pStyle w:val="HeaderBold"/>
          </w:pPr>
        </w:p>
      </w:tc>
      <w:tc>
        <w:tcPr>
          <w:tcW w:w="226" w:type="dxa"/>
        </w:tcPr>
        <w:p w14:paraId="184F095C" w14:textId="77777777" w:rsidR="00B30929" w:rsidRPr="006A7494" w:rsidRDefault="00B30929" w:rsidP="00B43308">
          <w:pPr>
            <w:pStyle w:val="HeaderBold"/>
          </w:pPr>
        </w:p>
      </w:tc>
      <w:tc>
        <w:tcPr>
          <w:tcW w:w="1962" w:type="dxa"/>
          <w:tcBorders>
            <w:top w:val="single" w:sz="4" w:space="0" w:color="auto"/>
          </w:tcBorders>
        </w:tcPr>
        <w:p w14:paraId="2B26C858" w14:textId="77777777" w:rsidR="00B30929" w:rsidRPr="0024300A" w:rsidRDefault="00B30929" w:rsidP="00B43308">
          <w:pPr>
            <w:pStyle w:val="HeaderBold"/>
            <w:rPr>
              <w:b w:val="0"/>
            </w:rPr>
          </w:pPr>
        </w:p>
      </w:tc>
      <w:tc>
        <w:tcPr>
          <w:tcW w:w="226" w:type="dxa"/>
        </w:tcPr>
        <w:p w14:paraId="09E09B1C" w14:textId="77777777" w:rsidR="00B30929" w:rsidRPr="006A7494" w:rsidRDefault="00B30929" w:rsidP="00B43308">
          <w:pPr>
            <w:pStyle w:val="HeaderBold"/>
          </w:pPr>
        </w:p>
      </w:tc>
      <w:tc>
        <w:tcPr>
          <w:tcW w:w="1962" w:type="dxa"/>
          <w:tcBorders>
            <w:top w:val="single" w:sz="4" w:space="0" w:color="auto"/>
          </w:tcBorders>
        </w:tcPr>
        <w:p w14:paraId="08AB2B0F" w14:textId="77777777" w:rsidR="00B30929" w:rsidRPr="006A7494" w:rsidRDefault="00B30929" w:rsidP="00B43308">
          <w:pPr>
            <w:pStyle w:val="HeaderBold"/>
          </w:pPr>
        </w:p>
      </w:tc>
    </w:tr>
    <w:tr w:rsidR="00B30929" w14:paraId="0F660AB4" w14:textId="77777777" w:rsidTr="00262504">
      <w:tc>
        <w:tcPr>
          <w:tcW w:w="3521" w:type="dxa"/>
          <w:vMerge/>
        </w:tcPr>
        <w:p w14:paraId="6CC47F34" w14:textId="77777777" w:rsidR="00B30929" w:rsidRDefault="00B30929" w:rsidP="00B43308">
          <w:pPr>
            <w:pStyle w:val="Header"/>
            <w:rPr>
              <w:b/>
            </w:rPr>
          </w:pPr>
        </w:p>
      </w:tc>
      <w:tc>
        <w:tcPr>
          <w:tcW w:w="1956" w:type="dxa"/>
        </w:tcPr>
        <w:p w14:paraId="4950D8E3" w14:textId="77777777" w:rsidR="00B30929" w:rsidRPr="006A7494" w:rsidRDefault="00B30929" w:rsidP="00AB6D97">
          <w:pPr>
            <w:pStyle w:val="Header"/>
          </w:pPr>
        </w:p>
      </w:tc>
      <w:tc>
        <w:tcPr>
          <w:tcW w:w="226" w:type="dxa"/>
          <w:tcBorders>
            <w:bottom w:val="single" w:sz="4" w:space="0" w:color="auto"/>
          </w:tcBorders>
        </w:tcPr>
        <w:p w14:paraId="3D9D64FE" w14:textId="77777777" w:rsidR="00B30929" w:rsidRPr="006A7494" w:rsidRDefault="00B30929" w:rsidP="006A7494">
          <w:pPr>
            <w:pStyle w:val="Header"/>
          </w:pPr>
        </w:p>
      </w:tc>
      <w:tc>
        <w:tcPr>
          <w:tcW w:w="1962" w:type="dxa"/>
          <w:tcBorders>
            <w:bottom w:val="single" w:sz="4" w:space="0" w:color="auto"/>
          </w:tcBorders>
        </w:tcPr>
        <w:p w14:paraId="5A3826A9" w14:textId="77777777" w:rsidR="00B30929" w:rsidRPr="006A7494" w:rsidRDefault="00B30929" w:rsidP="006A7494">
          <w:pPr>
            <w:pStyle w:val="Header"/>
          </w:pPr>
        </w:p>
      </w:tc>
      <w:tc>
        <w:tcPr>
          <w:tcW w:w="226" w:type="dxa"/>
          <w:tcBorders>
            <w:bottom w:val="single" w:sz="4" w:space="0" w:color="auto"/>
          </w:tcBorders>
        </w:tcPr>
        <w:p w14:paraId="372FF8B0" w14:textId="77777777" w:rsidR="00B30929" w:rsidRPr="006A7494" w:rsidRDefault="00B30929" w:rsidP="006A7494">
          <w:pPr>
            <w:pStyle w:val="Header"/>
          </w:pPr>
        </w:p>
      </w:tc>
      <w:tc>
        <w:tcPr>
          <w:tcW w:w="1962" w:type="dxa"/>
          <w:tcBorders>
            <w:bottom w:val="single" w:sz="4" w:space="0" w:color="auto"/>
          </w:tcBorders>
        </w:tcPr>
        <w:p w14:paraId="466442DE" w14:textId="77777777" w:rsidR="00B30929" w:rsidRPr="006A7494" w:rsidRDefault="00B30929" w:rsidP="006A7494">
          <w:pPr>
            <w:pStyle w:val="Header"/>
          </w:pPr>
        </w:p>
      </w:tc>
    </w:tr>
    <w:tr w:rsidR="00B30929" w14:paraId="6F1A78E2" w14:textId="77777777" w:rsidTr="00262504">
      <w:trPr>
        <w:trHeight w:val="238"/>
      </w:trPr>
      <w:tc>
        <w:tcPr>
          <w:tcW w:w="3521" w:type="dxa"/>
          <w:vMerge/>
        </w:tcPr>
        <w:p w14:paraId="58B55CE0" w14:textId="77777777" w:rsidR="00B30929" w:rsidRDefault="00B30929" w:rsidP="00B43308">
          <w:pPr>
            <w:pStyle w:val="Header"/>
            <w:rPr>
              <w:b/>
            </w:rPr>
          </w:pPr>
        </w:p>
      </w:tc>
      <w:tc>
        <w:tcPr>
          <w:tcW w:w="1956" w:type="dxa"/>
        </w:tcPr>
        <w:p w14:paraId="40B8F423" w14:textId="77777777" w:rsidR="00B30929" w:rsidRPr="006A7494" w:rsidRDefault="00B30929" w:rsidP="006A7494">
          <w:pPr>
            <w:pStyle w:val="HeaderBold"/>
          </w:pPr>
        </w:p>
      </w:tc>
      <w:tc>
        <w:tcPr>
          <w:tcW w:w="226" w:type="dxa"/>
          <w:tcBorders>
            <w:top w:val="single" w:sz="4" w:space="0" w:color="auto"/>
          </w:tcBorders>
        </w:tcPr>
        <w:p w14:paraId="127AB8BC" w14:textId="77777777" w:rsidR="00B30929" w:rsidRPr="006A7494" w:rsidRDefault="00B30929" w:rsidP="006A7494">
          <w:pPr>
            <w:pStyle w:val="HeaderBold"/>
          </w:pPr>
        </w:p>
      </w:tc>
      <w:tc>
        <w:tcPr>
          <w:tcW w:w="1962" w:type="dxa"/>
          <w:tcBorders>
            <w:top w:val="single" w:sz="4" w:space="0" w:color="auto"/>
          </w:tcBorders>
        </w:tcPr>
        <w:p w14:paraId="090DCBDB" w14:textId="77777777" w:rsidR="00B30929" w:rsidRPr="006A7494" w:rsidRDefault="00B30929" w:rsidP="006A7494">
          <w:pPr>
            <w:pStyle w:val="HeaderBold"/>
          </w:pPr>
        </w:p>
      </w:tc>
      <w:tc>
        <w:tcPr>
          <w:tcW w:w="226" w:type="dxa"/>
          <w:tcBorders>
            <w:top w:val="single" w:sz="4" w:space="0" w:color="auto"/>
          </w:tcBorders>
        </w:tcPr>
        <w:p w14:paraId="715255F1" w14:textId="77777777" w:rsidR="00B30929" w:rsidRPr="006A7494" w:rsidRDefault="00B30929" w:rsidP="006A7494">
          <w:pPr>
            <w:pStyle w:val="HeaderBold"/>
          </w:pPr>
        </w:p>
      </w:tc>
      <w:tc>
        <w:tcPr>
          <w:tcW w:w="1962" w:type="dxa"/>
          <w:tcBorders>
            <w:top w:val="single" w:sz="4" w:space="0" w:color="auto"/>
          </w:tcBorders>
        </w:tcPr>
        <w:p w14:paraId="7EB7E007" w14:textId="77777777" w:rsidR="00B30929" w:rsidRPr="006A7494" w:rsidRDefault="00B30929" w:rsidP="006A7494">
          <w:pPr>
            <w:pStyle w:val="HeaderBold"/>
          </w:pPr>
        </w:p>
      </w:tc>
    </w:tr>
    <w:tr w:rsidR="00B30929" w14:paraId="58963A6B" w14:textId="77777777" w:rsidTr="00B43308">
      <w:tc>
        <w:tcPr>
          <w:tcW w:w="3521" w:type="dxa"/>
          <w:vMerge/>
        </w:tcPr>
        <w:p w14:paraId="659C582E" w14:textId="77777777" w:rsidR="00B30929" w:rsidRDefault="00B30929" w:rsidP="00B43308">
          <w:pPr>
            <w:pStyle w:val="Header"/>
            <w:rPr>
              <w:b/>
            </w:rPr>
          </w:pPr>
        </w:p>
      </w:tc>
      <w:tc>
        <w:tcPr>
          <w:tcW w:w="1956" w:type="dxa"/>
        </w:tcPr>
        <w:p w14:paraId="39EFD413" w14:textId="77777777" w:rsidR="00B30929" w:rsidRPr="006A7494" w:rsidRDefault="00B30929" w:rsidP="006A7494">
          <w:pPr>
            <w:pStyle w:val="Header"/>
          </w:pPr>
        </w:p>
      </w:tc>
      <w:tc>
        <w:tcPr>
          <w:tcW w:w="226" w:type="dxa"/>
        </w:tcPr>
        <w:p w14:paraId="40A79DF1" w14:textId="77777777" w:rsidR="00B30929" w:rsidRPr="006A7494" w:rsidRDefault="00B30929" w:rsidP="006A7494">
          <w:pPr>
            <w:pStyle w:val="Header"/>
          </w:pPr>
        </w:p>
      </w:tc>
      <w:tc>
        <w:tcPr>
          <w:tcW w:w="1962" w:type="dxa"/>
        </w:tcPr>
        <w:p w14:paraId="7962F380" w14:textId="77777777" w:rsidR="00B30929" w:rsidRPr="006A7494" w:rsidRDefault="00B30929" w:rsidP="006A7494">
          <w:pPr>
            <w:pStyle w:val="Header"/>
          </w:pPr>
        </w:p>
      </w:tc>
      <w:tc>
        <w:tcPr>
          <w:tcW w:w="226" w:type="dxa"/>
        </w:tcPr>
        <w:p w14:paraId="6424643E" w14:textId="77777777" w:rsidR="00B30929" w:rsidRPr="006A7494" w:rsidRDefault="00B30929" w:rsidP="006A7494">
          <w:pPr>
            <w:pStyle w:val="Header"/>
          </w:pPr>
        </w:p>
      </w:tc>
      <w:tc>
        <w:tcPr>
          <w:tcW w:w="1962" w:type="dxa"/>
        </w:tcPr>
        <w:p w14:paraId="63268A58" w14:textId="77777777" w:rsidR="00B30929" w:rsidRPr="006A7494" w:rsidRDefault="00B30929" w:rsidP="006A7494">
          <w:pPr>
            <w:pStyle w:val="Header"/>
          </w:pPr>
        </w:p>
      </w:tc>
    </w:tr>
    <w:tr w:rsidR="00B30929" w14:paraId="3483AE98" w14:textId="77777777" w:rsidTr="003F35E7">
      <w:trPr>
        <w:trHeight w:val="238"/>
      </w:trPr>
      <w:tc>
        <w:tcPr>
          <w:tcW w:w="3521" w:type="dxa"/>
          <w:vMerge/>
        </w:tcPr>
        <w:p w14:paraId="164BFCA8" w14:textId="77777777" w:rsidR="00B30929" w:rsidRDefault="00B30929" w:rsidP="00B43308">
          <w:pPr>
            <w:pStyle w:val="Header"/>
            <w:rPr>
              <w:b/>
            </w:rPr>
          </w:pPr>
        </w:p>
      </w:tc>
      <w:tc>
        <w:tcPr>
          <w:tcW w:w="1956" w:type="dxa"/>
        </w:tcPr>
        <w:p w14:paraId="7C286E14" w14:textId="77777777" w:rsidR="00B30929" w:rsidRPr="006A7494" w:rsidRDefault="00B30929" w:rsidP="006A7494">
          <w:pPr>
            <w:pStyle w:val="HeaderBold"/>
          </w:pPr>
        </w:p>
      </w:tc>
      <w:tc>
        <w:tcPr>
          <w:tcW w:w="226" w:type="dxa"/>
        </w:tcPr>
        <w:p w14:paraId="3613E62F" w14:textId="77777777" w:rsidR="00B30929" w:rsidRPr="006A7494" w:rsidRDefault="00B30929" w:rsidP="006A7494">
          <w:pPr>
            <w:pStyle w:val="HeaderBold"/>
          </w:pPr>
        </w:p>
      </w:tc>
      <w:tc>
        <w:tcPr>
          <w:tcW w:w="1962" w:type="dxa"/>
        </w:tcPr>
        <w:p w14:paraId="347268B9" w14:textId="77777777" w:rsidR="00B30929" w:rsidRPr="006A7494" w:rsidRDefault="00B30929" w:rsidP="006A7494">
          <w:pPr>
            <w:pStyle w:val="HeaderBold"/>
          </w:pPr>
        </w:p>
      </w:tc>
      <w:tc>
        <w:tcPr>
          <w:tcW w:w="226" w:type="dxa"/>
        </w:tcPr>
        <w:p w14:paraId="24285E45" w14:textId="77777777" w:rsidR="00B30929" w:rsidRPr="006A7494" w:rsidRDefault="00B30929" w:rsidP="006A7494">
          <w:pPr>
            <w:pStyle w:val="HeaderBold"/>
          </w:pPr>
        </w:p>
      </w:tc>
      <w:tc>
        <w:tcPr>
          <w:tcW w:w="1962" w:type="dxa"/>
        </w:tcPr>
        <w:p w14:paraId="3BB54779" w14:textId="77777777" w:rsidR="00B30929" w:rsidRPr="006A7494" w:rsidRDefault="00B30929" w:rsidP="006A7494">
          <w:pPr>
            <w:pStyle w:val="HeaderBold"/>
          </w:pPr>
        </w:p>
      </w:tc>
    </w:tr>
    <w:tr w:rsidR="00B30929" w14:paraId="305141FB" w14:textId="77777777" w:rsidTr="00B43308">
      <w:tc>
        <w:tcPr>
          <w:tcW w:w="3521" w:type="dxa"/>
          <w:vMerge/>
        </w:tcPr>
        <w:p w14:paraId="3ACDDB8E" w14:textId="77777777" w:rsidR="00B30929" w:rsidRDefault="00B30929" w:rsidP="00B43308">
          <w:pPr>
            <w:pStyle w:val="Header"/>
            <w:rPr>
              <w:b/>
            </w:rPr>
          </w:pPr>
        </w:p>
      </w:tc>
      <w:tc>
        <w:tcPr>
          <w:tcW w:w="1956" w:type="dxa"/>
        </w:tcPr>
        <w:p w14:paraId="066CA45E" w14:textId="77777777" w:rsidR="00B30929" w:rsidRPr="006A7494" w:rsidRDefault="00B30929" w:rsidP="006A7494">
          <w:pPr>
            <w:pStyle w:val="Header"/>
          </w:pPr>
        </w:p>
      </w:tc>
      <w:tc>
        <w:tcPr>
          <w:tcW w:w="226" w:type="dxa"/>
        </w:tcPr>
        <w:p w14:paraId="10EA4C18" w14:textId="77777777" w:rsidR="00B30929" w:rsidRPr="006A7494" w:rsidRDefault="00B30929" w:rsidP="006A7494">
          <w:pPr>
            <w:pStyle w:val="Header"/>
          </w:pPr>
        </w:p>
      </w:tc>
      <w:tc>
        <w:tcPr>
          <w:tcW w:w="1962" w:type="dxa"/>
        </w:tcPr>
        <w:p w14:paraId="0775F310" w14:textId="77777777" w:rsidR="00B30929" w:rsidRPr="006A7494" w:rsidRDefault="00B30929" w:rsidP="006A7494">
          <w:pPr>
            <w:pStyle w:val="Header"/>
          </w:pPr>
        </w:p>
      </w:tc>
      <w:tc>
        <w:tcPr>
          <w:tcW w:w="226" w:type="dxa"/>
        </w:tcPr>
        <w:p w14:paraId="52FA6515" w14:textId="77777777" w:rsidR="00B30929" w:rsidRPr="006A7494" w:rsidRDefault="00B30929" w:rsidP="006A7494">
          <w:pPr>
            <w:pStyle w:val="Header"/>
          </w:pPr>
        </w:p>
      </w:tc>
      <w:tc>
        <w:tcPr>
          <w:tcW w:w="1962" w:type="dxa"/>
        </w:tcPr>
        <w:p w14:paraId="6B04C047" w14:textId="77777777" w:rsidR="00B30929" w:rsidRPr="006A7494" w:rsidRDefault="00B30929" w:rsidP="006A7494">
          <w:pPr>
            <w:pStyle w:val="Header"/>
          </w:pPr>
        </w:p>
      </w:tc>
    </w:tr>
  </w:tbl>
  <w:p w14:paraId="385CFA19" w14:textId="77777777" w:rsidR="00B30929" w:rsidRDefault="00B30929" w:rsidP="00A011CC">
    <w:pPr>
      <w:pStyle w:val="Header"/>
    </w:pPr>
  </w:p>
  <w:p w14:paraId="61F36899" w14:textId="77777777" w:rsidR="00B30929" w:rsidRDefault="00B30929" w:rsidP="00A011CC">
    <w:pPr>
      <w:pStyle w:val="Header"/>
    </w:pPr>
  </w:p>
  <w:p w14:paraId="5200956A" w14:textId="77777777" w:rsidR="00B30929" w:rsidRDefault="00B30929" w:rsidP="00A011CC">
    <w:pPr>
      <w:pStyle w:val="Header"/>
    </w:pPr>
  </w:p>
  <w:p w14:paraId="7B70E98F" w14:textId="77777777" w:rsidR="00B30929" w:rsidRDefault="00B30929" w:rsidP="00A011CC">
    <w:pPr>
      <w:pStyle w:val="Header"/>
    </w:pPr>
  </w:p>
  <w:p w14:paraId="35BCFBED" w14:textId="77777777" w:rsidR="00B30929" w:rsidRPr="00B75534" w:rsidRDefault="00B30929" w:rsidP="00A011CC">
    <w:pPr>
      <w:pStyle w:val="Header"/>
    </w:pPr>
  </w:p>
  <w:p w14:paraId="2E197902" w14:textId="77777777" w:rsidR="00B30929" w:rsidRDefault="00B30929"/>
  <w:p w14:paraId="22440743" w14:textId="77777777" w:rsidR="00B30929" w:rsidRDefault="00B309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D48B74E"/>
    <w:lvl w:ilvl="0">
      <w:start w:val="1"/>
      <w:numFmt w:val="decimal"/>
      <w:lvlText w:val="%1."/>
      <w:lvlJc w:val="left"/>
      <w:pPr>
        <w:tabs>
          <w:tab w:val="num" w:pos="926"/>
        </w:tabs>
        <w:ind w:left="926" w:hanging="360"/>
      </w:pPr>
    </w:lvl>
  </w:abstractNum>
  <w:abstractNum w:abstractNumId="1">
    <w:nsid w:val="FFFFFF7F"/>
    <w:multiLevelType w:val="singleLevel"/>
    <w:tmpl w:val="54C20190"/>
    <w:lvl w:ilvl="0">
      <w:start w:val="1"/>
      <w:numFmt w:val="decimal"/>
      <w:lvlText w:val="%1."/>
      <w:lvlJc w:val="left"/>
      <w:pPr>
        <w:tabs>
          <w:tab w:val="num" w:pos="643"/>
        </w:tabs>
        <w:ind w:left="643" w:hanging="360"/>
      </w:pPr>
    </w:lvl>
  </w:abstractNum>
  <w:abstractNum w:abstractNumId="2">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A340F86"/>
    <w:lvl w:ilvl="0">
      <w:start w:val="1"/>
      <w:numFmt w:val="decimal"/>
      <w:lvlText w:val="%1."/>
      <w:lvlJc w:val="left"/>
      <w:pPr>
        <w:tabs>
          <w:tab w:val="num" w:pos="360"/>
        </w:tabs>
        <w:ind w:left="360" w:hanging="360"/>
      </w:pPr>
    </w:lvl>
  </w:abstractNum>
  <w:abstractNum w:abstractNumId="5">
    <w:nsid w:val="007251EA"/>
    <w:multiLevelType w:val="hybridMultilevel"/>
    <w:tmpl w:val="7EE22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1FA7EDB"/>
    <w:multiLevelType w:val="hybridMultilevel"/>
    <w:tmpl w:val="D75695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2BC1027"/>
    <w:multiLevelType w:val="hybridMultilevel"/>
    <w:tmpl w:val="55B2EECA"/>
    <w:lvl w:ilvl="0" w:tplc="E5D23C98">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0F7658D5"/>
    <w:multiLevelType w:val="hybridMultilevel"/>
    <w:tmpl w:val="C4D6CBA2"/>
    <w:lvl w:ilvl="0" w:tplc="8DBE2618">
      <w:start w:val="1"/>
      <w:numFmt w:val="decimal"/>
      <w:lvlText w:val="%1."/>
      <w:lvlJc w:val="left"/>
      <w:pPr>
        <w:ind w:left="36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04D7E99"/>
    <w:multiLevelType w:val="hybridMultilevel"/>
    <w:tmpl w:val="A09C18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1E41DF1"/>
    <w:multiLevelType w:val="hybridMultilevel"/>
    <w:tmpl w:val="9B14C3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4301182"/>
    <w:multiLevelType w:val="hybridMultilevel"/>
    <w:tmpl w:val="D6F63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5491FE4"/>
    <w:multiLevelType w:val="hybridMultilevel"/>
    <w:tmpl w:val="8A4AA0EA"/>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7B50A36"/>
    <w:multiLevelType w:val="hybridMultilevel"/>
    <w:tmpl w:val="3D08DA1A"/>
    <w:lvl w:ilvl="0" w:tplc="041D0001">
      <w:start w:val="1"/>
      <w:numFmt w:val="bullet"/>
      <w:lvlText w:val=""/>
      <w:lvlJc w:val="left"/>
      <w:pPr>
        <w:ind w:left="720" w:hanging="360"/>
      </w:pPr>
      <w:rPr>
        <w:rFonts w:ascii="Symbol" w:hAnsi="Symbol" w:hint="default"/>
      </w:rPr>
    </w:lvl>
    <w:lvl w:ilvl="1" w:tplc="9E941AD2">
      <w:numFmt w:val="bullet"/>
      <w:lvlText w:val="-"/>
      <w:lvlJc w:val="left"/>
      <w:pPr>
        <w:ind w:left="1440" w:hanging="360"/>
      </w:pPr>
      <w:rPr>
        <w:rFonts w:ascii="Georgia" w:eastAsiaTheme="minorHAnsi" w:hAnsi="Georgia"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5">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4777CEF"/>
    <w:multiLevelType w:val="hybridMultilevel"/>
    <w:tmpl w:val="9080EDFA"/>
    <w:lvl w:ilvl="0" w:tplc="F7D8AC2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B6F49E7"/>
    <w:multiLevelType w:val="hybridMultilevel"/>
    <w:tmpl w:val="AE5EC4F0"/>
    <w:lvl w:ilvl="0" w:tplc="83E42062">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nsid w:val="5B6860EE"/>
    <w:multiLevelType w:val="hybridMultilevel"/>
    <w:tmpl w:val="C2920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F2C71BB"/>
    <w:multiLevelType w:val="hybridMultilevel"/>
    <w:tmpl w:val="784A0E26"/>
    <w:lvl w:ilvl="0" w:tplc="830253C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9C55430"/>
    <w:multiLevelType w:val="hybridMultilevel"/>
    <w:tmpl w:val="C152143E"/>
    <w:lvl w:ilvl="0" w:tplc="F0DA856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5"/>
  </w:num>
  <w:num w:numId="2">
    <w:abstractNumId w:val="1"/>
  </w:num>
  <w:num w:numId="3">
    <w:abstractNumId w:val="0"/>
  </w:num>
  <w:num w:numId="4">
    <w:abstractNumId w:val="17"/>
  </w:num>
  <w:num w:numId="5">
    <w:abstractNumId w:val="3"/>
  </w:num>
  <w:num w:numId="6">
    <w:abstractNumId w:val="2"/>
  </w:num>
  <w:num w:numId="7">
    <w:abstractNumId w:val="4"/>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8"/>
  </w:num>
  <w:num w:numId="12">
    <w:abstractNumId w:val="15"/>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13"/>
  </w:num>
  <w:num w:numId="15">
    <w:abstractNumId w:val="12"/>
  </w:num>
  <w:num w:numId="16">
    <w:abstractNumId w:val="22"/>
  </w:num>
  <w:num w:numId="17">
    <w:abstractNumId w:val="10"/>
  </w:num>
  <w:num w:numId="18">
    <w:abstractNumId w:val="21"/>
  </w:num>
  <w:num w:numId="19">
    <w:abstractNumId w:val="9"/>
  </w:num>
  <w:num w:numId="20">
    <w:abstractNumId w:val="6"/>
  </w:num>
  <w:num w:numId="21">
    <w:abstractNumId w:val="5"/>
  </w:num>
  <w:num w:numId="22">
    <w:abstractNumId w:val="20"/>
  </w:num>
  <w:num w:numId="23">
    <w:abstractNumId w:val="19"/>
  </w:num>
  <w:num w:numId="24">
    <w:abstractNumId w:val="7"/>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2F"/>
    <w:rsid w:val="00012FD0"/>
    <w:rsid w:val="0002025B"/>
    <w:rsid w:val="00030DAD"/>
    <w:rsid w:val="00031B5C"/>
    <w:rsid w:val="00035F18"/>
    <w:rsid w:val="00037A26"/>
    <w:rsid w:val="000B4D2F"/>
    <w:rsid w:val="000B4D37"/>
    <w:rsid w:val="000C7491"/>
    <w:rsid w:val="000F0D78"/>
    <w:rsid w:val="001055CE"/>
    <w:rsid w:val="00110B04"/>
    <w:rsid w:val="00127163"/>
    <w:rsid w:val="001621F9"/>
    <w:rsid w:val="0017611A"/>
    <w:rsid w:val="0018642A"/>
    <w:rsid w:val="001F3547"/>
    <w:rsid w:val="00211AEB"/>
    <w:rsid w:val="002179BC"/>
    <w:rsid w:val="002260D8"/>
    <w:rsid w:val="0023642A"/>
    <w:rsid w:val="0024300A"/>
    <w:rsid w:val="0024331F"/>
    <w:rsid w:val="00262504"/>
    <w:rsid w:val="00263E47"/>
    <w:rsid w:val="00265C94"/>
    <w:rsid w:val="002749BA"/>
    <w:rsid w:val="002A115A"/>
    <w:rsid w:val="002A15E3"/>
    <w:rsid w:val="002C40B6"/>
    <w:rsid w:val="002D1891"/>
    <w:rsid w:val="002E0375"/>
    <w:rsid w:val="002E47D4"/>
    <w:rsid w:val="002F10C1"/>
    <w:rsid w:val="002F1EB0"/>
    <w:rsid w:val="00300539"/>
    <w:rsid w:val="0030319A"/>
    <w:rsid w:val="00310604"/>
    <w:rsid w:val="003112AF"/>
    <w:rsid w:val="0032185C"/>
    <w:rsid w:val="00323475"/>
    <w:rsid w:val="00326A21"/>
    <w:rsid w:val="0033334B"/>
    <w:rsid w:val="0033693B"/>
    <w:rsid w:val="0034118F"/>
    <w:rsid w:val="00354E81"/>
    <w:rsid w:val="0036126D"/>
    <w:rsid w:val="00364978"/>
    <w:rsid w:val="00383258"/>
    <w:rsid w:val="0038598E"/>
    <w:rsid w:val="00386C38"/>
    <w:rsid w:val="003937D6"/>
    <w:rsid w:val="003A221F"/>
    <w:rsid w:val="003B55F6"/>
    <w:rsid w:val="003C5C7A"/>
    <w:rsid w:val="003D5E50"/>
    <w:rsid w:val="003E64D2"/>
    <w:rsid w:val="003F0FAA"/>
    <w:rsid w:val="003F1D92"/>
    <w:rsid w:val="003F35E7"/>
    <w:rsid w:val="003F42D6"/>
    <w:rsid w:val="003F66EC"/>
    <w:rsid w:val="003F6783"/>
    <w:rsid w:val="00430A2F"/>
    <w:rsid w:val="00435A6D"/>
    <w:rsid w:val="0044421D"/>
    <w:rsid w:val="00446216"/>
    <w:rsid w:val="00484AB4"/>
    <w:rsid w:val="004A3440"/>
    <w:rsid w:val="004F5713"/>
    <w:rsid w:val="00512B40"/>
    <w:rsid w:val="00515001"/>
    <w:rsid w:val="00516DE4"/>
    <w:rsid w:val="00523FF5"/>
    <w:rsid w:val="00544EE4"/>
    <w:rsid w:val="00545699"/>
    <w:rsid w:val="00547786"/>
    <w:rsid w:val="00547E65"/>
    <w:rsid w:val="00554F09"/>
    <w:rsid w:val="0056329E"/>
    <w:rsid w:val="00574F37"/>
    <w:rsid w:val="0057553D"/>
    <w:rsid w:val="00596619"/>
    <w:rsid w:val="005C0B09"/>
    <w:rsid w:val="005C1561"/>
    <w:rsid w:val="005C57D9"/>
    <w:rsid w:val="005E0587"/>
    <w:rsid w:val="005E70B9"/>
    <w:rsid w:val="005F0E17"/>
    <w:rsid w:val="006010A8"/>
    <w:rsid w:val="00611DEC"/>
    <w:rsid w:val="0065650B"/>
    <w:rsid w:val="006574CC"/>
    <w:rsid w:val="006751AD"/>
    <w:rsid w:val="00692949"/>
    <w:rsid w:val="006A210E"/>
    <w:rsid w:val="006A3EA4"/>
    <w:rsid w:val="006A7494"/>
    <w:rsid w:val="006C3154"/>
    <w:rsid w:val="006C34B4"/>
    <w:rsid w:val="006F446E"/>
    <w:rsid w:val="006F5CAE"/>
    <w:rsid w:val="00722020"/>
    <w:rsid w:val="00730430"/>
    <w:rsid w:val="007835A7"/>
    <w:rsid w:val="00792464"/>
    <w:rsid w:val="007B03F4"/>
    <w:rsid w:val="007B6F18"/>
    <w:rsid w:val="007D37AF"/>
    <w:rsid w:val="007D74F8"/>
    <w:rsid w:val="007F3C19"/>
    <w:rsid w:val="007F67AA"/>
    <w:rsid w:val="007F705A"/>
    <w:rsid w:val="00825507"/>
    <w:rsid w:val="008408F1"/>
    <w:rsid w:val="00863257"/>
    <w:rsid w:val="00863D4E"/>
    <w:rsid w:val="00873303"/>
    <w:rsid w:val="008815CA"/>
    <w:rsid w:val="008822FA"/>
    <w:rsid w:val="00886DD5"/>
    <w:rsid w:val="008B2206"/>
    <w:rsid w:val="008D09F4"/>
    <w:rsid w:val="008E1377"/>
    <w:rsid w:val="008E4593"/>
    <w:rsid w:val="009132FF"/>
    <w:rsid w:val="0091362A"/>
    <w:rsid w:val="00916344"/>
    <w:rsid w:val="00921784"/>
    <w:rsid w:val="00922FFA"/>
    <w:rsid w:val="009361E7"/>
    <w:rsid w:val="00940848"/>
    <w:rsid w:val="00981197"/>
    <w:rsid w:val="009876C9"/>
    <w:rsid w:val="009A0480"/>
    <w:rsid w:val="009A3428"/>
    <w:rsid w:val="009A59C3"/>
    <w:rsid w:val="009B7D0C"/>
    <w:rsid w:val="009C1C0F"/>
    <w:rsid w:val="00A011CC"/>
    <w:rsid w:val="00A33D03"/>
    <w:rsid w:val="00A37248"/>
    <w:rsid w:val="00A506FD"/>
    <w:rsid w:val="00A75F33"/>
    <w:rsid w:val="00A77340"/>
    <w:rsid w:val="00A804DF"/>
    <w:rsid w:val="00A827FC"/>
    <w:rsid w:val="00A833EA"/>
    <w:rsid w:val="00A90561"/>
    <w:rsid w:val="00A94561"/>
    <w:rsid w:val="00AA3946"/>
    <w:rsid w:val="00AB37AC"/>
    <w:rsid w:val="00AB5D2D"/>
    <w:rsid w:val="00AB6D97"/>
    <w:rsid w:val="00AD202E"/>
    <w:rsid w:val="00AE299D"/>
    <w:rsid w:val="00AE79D8"/>
    <w:rsid w:val="00AF0371"/>
    <w:rsid w:val="00AF6970"/>
    <w:rsid w:val="00AF7770"/>
    <w:rsid w:val="00B00BC7"/>
    <w:rsid w:val="00B02309"/>
    <w:rsid w:val="00B30929"/>
    <w:rsid w:val="00B32A6A"/>
    <w:rsid w:val="00B411DA"/>
    <w:rsid w:val="00B43308"/>
    <w:rsid w:val="00B5121A"/>
    <w:rsid w:val="00B90528"/>
    <w:rsid w:val="00BC64D7"/>
    <w:rsid w:val="00BD10EE"/>
    <w:rsid w:val="00BE142C"/>
    <w:rsid w:val="00C06690"/>
    <w:rsid w:val="00C1182D"/>
    <w:rsid w:val="00C204E8"/>
    <w:rsid w:val="00C229B1"/>
    <w:rsid w:val="00C31274"/>
    <w:rsid w:val="00C4232C"/>
    <w:rsid w:val="00C46B7C"/>
    <w:rsid w:val="00C5209A"/>
    <w:rsid w:val="00C65034"/>
    <w:rsid w:val="00C87FA2"/>
    <w:rsid w:val="00CA4F00"/>
    <w:rsid w:val="00CB6068"/>
    <w:rsid w:val="00CD1814"/>
    <w:rsid w:val="00CD6817"/>
    <w:rsid w:val="00CF6E22"/>
    <w:rsid w:val="00CF7A0B"/>
    <w:rsid w:val="00D1285E"/>
    <w:rsid w:val="00D2245B"/>
    <w:rsid w:val="00D34B54"/>
    <w:rsid w:val="00D3524D"/>
    <w:rsid w:val="00D441AB"/>
    <w:rsid w:val="00D569C6"/>
    <w:rsid w:val="00D62511"/>
    <w:rsid w:val="00D80F85"/>
    <w:rsid w:val="00E179F1"/>
    <w:rsid w:val="00E365CF"/>
    <w:rsid w:val="00E475FC"/>
    <w:rsid w:val="00E61ED9"/>
    <w:rsid w:val="00EA5DD2"/>
    <w:rsid w:val="00EA62E8"/>
    <w:rsid w:val="00EB07F4"/>
    <w:rsid w:val="00EB1D22"/>
    <w:rsid w:val="00EE1F40"/>
    <w:rsid w:val="00EF1D64"/>
    <w:rsid w:val="00F028B8"/>
    <w:rsid w:val="00F03D2B"/>
    <w:rsid w:val="00F11225"/>
    <w:rsid w:val="00F41583"/>
    <w:rsid w:val="00F5426E"/>
    <w:rsid w:val="00F57388"/>
    <w:rsid w:val="00F845E0"/>
    <w:rsid w:val="00F87236"/>
    <w:rsid w:val="00F91257"/>
    <w:rsid w:val="00F94E56"/>
    <w:rsid w:val="00FA2711"/>
    <w:rsid w:val="00FB7B35"/>
    <w:rsid w:val="00FC5FBC"/>
    <w:rsid w:val="00FC7FF9"/>
    <w:rsid w:val="00FD5351"/>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0C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67">
    <w:lsdException w:name="Normal" w:semiHidden="0" w:uiPriority="0"/>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qFormat="1"/>
  </w:latentStyles>
  <w:style w:type="paragraph" w:default="1" w:styleId="Normal">
    <w:name w:val="Normal"/>
    <w:rsid w:val="00E61ED9"/>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544EE4"/>
    <w:pPr>
      <w:keepNext/>
      <w:keepLines/>
      <w:spacing w:before="240" w:after="60" w:line="260" w:lineRule="atLeast"/>
      <w:outlineLvl w:val="2"/>
    </w:pPr>
    <w:rPr>
      <w:rFonts w:asciiTheme="majorHAnsi" w:eastAsiaTheme="majorEastAsia" w:hAnsiTheme="majorHAnsi" w:cstheme="majorBidi"/>
      <w:bCs/>
      <w:i/>
      <w:sz w:val="22"/>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544EE4"/>
    <w:rPr>
      <w:rFonts w:asciiTheme="majorHAnsi" w:eastAsiaTheme="majorEastAsia" w:hAnsiTheme="majorHAnsi" w:cstheme="majorBidi"/>
      <w:bCs/>
      <w:i/>
      <w:sz w:val="22"/>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3"/>
    <w:qFormat/>
    <w:rsid w:val="003C5C7A"/>
    <w:pPr>
      <w:numPr>
        <w:numId w:val="11"/>
      </w:numPr>
      <w:ind w:left="431" w:hanging="431"/>
    </w:pPr>
  </w:style>
  <w:style w:type="paragraph" w:customStyle="1" w:styleId="KTHnRubrik2">
    <w:name w:val="KTH nRubrik 2"/>
    <w:basedOn w:val="Heading2"/>
    <w:next w:val="BodyText"/>
    <w:uiPriority w:val="3"/>
    <w:qFormat/>
    <w:rsid w:val="003C5C7A"/>
    <w:pPr>
      <w:numPr>
        <w:ilvl w:val="1"/>
        <w:numId w:val="11"/>
      </w:numPr>
      <w:ind w:left="578" w:hanging="578"/>
    </w:pPr>
  </w:style>
  <w:style w:type="paragraph" w:customStyle="1" w:styleId="KTHnRubrik3">
    <w:name w:val="KTH nRubrik 3"/>
    <w:basedOn w:val="Heading3"/>
    <w:next w:val="BodyText"/>
    <w:uiPriority w:val="3"/>
    <w:qFormat/>
    <w:rsid w:val="003C5C7A"/>
    <w:pPr>
      <w:numPr>
        <w:ilvl w:val="2"/>
        <w:numId w:val="11"/>
      </w:numPr>
    </w:pPr>
  </w:style>
  <w:style w:type="paragraph" w:customStyle="1" w:styleId="KTHnRubrik4">
    <w:name w:val="KTH nRubrik 4"/>
    <w:basedOn w:val="Heading4"/>
    <w:next w:val="BodyText"/>
    <w:uiPriority w:val="3"/>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semiHidden/>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6126D"/>
    <w:rPr>
      <w:color w:val="808080"/>
    </w:rPr>
  </w:style>
  <w:style w:type="character" w:styleId="Hyperlink">
    <w:name w:val="Hyperlink"/>
    <w:basedOn w:val="DefaultParagraphFont"/>
    <w:uiPriority w:val="99"/>
    <w:unhideWhenUsed/>
    <w:rsid w:val="0036126D"/>
    <w:rPr>
      <w:color w:val="0000FF" w:themeColor="hyperlink"/>
      <w:u w:val="single"/>
    </w:rPr>
  </w:style>
  <w:style w:type="paragraph" w:styleId="ListParagraph">
    <w:name w:val="List Paragraph"/>
    <w:basedOn w:val="Normal"/>
    <w:uiPriority w:val="34"/>
    <w:qFormat/>
    <w:rsid w:val="00435A6D"/>
    <w:pPr>
      <w:ind w:left="720"/>
      <w:contextualSpacing/>
    </w:pPr>
  </w:style>
  <w:style w:type="paragraph" w:styleId="FootnoteText">
    <w:name w:val="footnote text"/>
    <w:basedOn w:val="Normal"/>
    <w:link w:val="FootnoteTextChar"/>
    <w:uiPriority w:val="99"/>
    <w:unhideWhenUsed/>
    <w:rsid w:val="009A0480"/>
    <w:rPr>
      <w:sz w:val="24"/>
      <w:szCs w:val="24"/>
    </w:rPr>
  </w:style>
  <w:style w:type="character" w:customStyle="1" w:styleId="FootnoteTextChar">
    <w:name w:val="Footnote Text Char"/>
    <w:basedOn w:val="DefaultParagraphFont"/>
    <w:link w:val="FootnoteText"/>
    <w:uiPriority w:val="99"/>
    <w:rsid w:val="009A0480"/>
    <w:rPr>
      <w:sz w:val="24"/>
      <w:szCs w:val="24"/>
    </w:rPr>
  </w:style>
  <w:style w:type="character" w:styleId="FootnoteReference">
    <w:name w:val="footnote reference"/>
    <w:basedOn w:val="DefaultParagraphFont"/>
    <w:uiPriority w:val="99"/>
    <w:unhideWhenUsed/>
    <w:rsid w:val="009A0480"/>
    <w:rPr>
      <w:vertAlign w:val="superscript"/>
    </w:rPr>
  </w:style>
  <w:style w:type="paragraph" w:customStyle="1" w:styleId="Default">
    <w:name w:val="Default"/>
    <w:rsid w:val="006F5CA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352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67">
    <w:lsdException w:name="Normal" w:semiHidden="0" w:uiPriority="0"/>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qFormat="1"/>
  </w:latentStyles>
  <w:style w:type="paragraph" w:default="1" w:styleId="Normal">
    <w:name w:val="Normal"/>
    <w:rsid w:val="00E61ED9"/>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544EE4"/>
    <w:pPr>
      <w:keepNext/>
      <w:keepLines/>
      <w:spacing w:before="240" w:after="60" w:line="260" w:lineRule="atLeast"/>
      <w:outlineLvl w:val="2"/>
    </w:pPr>
    <w:rPr>
      <w:rFonts w:asciiTheme="majorHAnsi" w:eastAsiaTheme="majorEastAsia" w:hAnsiTheme="majorHAnsi" w:cstheme="majorBidi"/>
      <w:bCs/>
      <w:i/>
      <w:sz w:val="22"/>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544EE4"/>
    <w:rPr>
      <w:rFonts w:asciiTheme="majorHAnsi" w:eastAsiaTheme="majorEastAsia" w:hAnsiTheme="majorHAnsi" w:cstheme="majorBidi"/>
      <w:bCs/>
      <w:i/>
      <w:sz w:val="22"/>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3"/>
    <w:qFormat/>
    <w:rsid w:val="003C5C7A"/>
    <w:pPr>
      <w:numPr>
        <w:numId w:val="11"/>
      </w:numPr>
      <w:ind w:left="431" w:hanging="431"/>
    </w:pPr>
  </w:style>
  <w:style w:type="paragraph" w:customStyle="1" w:styleId="KTHnRubrik2">
    <w:name w:val="KTH nRubrik 2"/>
    <w:basedOn w:val="Heading2"/>
    <w:next w:val="BodyText"/>
    <w:uiPriority w:val="3"/>
    <w:qFormat/>
    <w:rsid w:val="003C5C7A"/>
    <w:pPr>
      <w:numPr>
        <w:ilvl w:val="1"/>
        <w:numId w:val="11"/>
      </w:numPr>
      <w:ind w:left="578" w:hanging="578"/>
    </w:pPr>
  </w:style>
  <w:style w:type="paragraph" w:customStyle="1" w:styleId="KTHnRubrik3">
    <w:name w:val="KTH nRubrik 3"/>
    <w:basedOn w:val="Heading3"/>
    <w:next w:val="BodyText"/>
    <w:uiPriority w:val="3"/>
    <w:qFormat/>
    <w:rsid w:val="003C5C7A"/>
    <w:pPr>
      <w:numPr>
        <w:ilvl w:val="2"/>
        <w:numId w:val="11"/>
      </w:numPr>
    </w:pPr>
  </w:style>
  <w:style w:type="paragraph" w:customStyle="1" w:styleId="KTHnRubrik4">
    <w:name w:val="KTH nRubrik 4"/>
    <w:basedOn w:val="Heading4"/>
    <w:next w:val="BodyText"/>
    <w:uiPriority w:val="3"/>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semiHidden/>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6126D"/>
    <w:rPr>
      <w:color w:val="808080"/>
    </w:rPr>
  </w:style>
  <w:style w:type="character" w:styleId="Hyperlink">
    <w:name w:val="Hyperlink"/>
    <w:basedOn w:val="DefaultParagraphFont"/>
    <w:uiPriority w:val="99"/>
    <w:unhideWhenUsed/>
    <w:rsid w:val="0036126D"/>
    <w:rPr>
      <w:color w:val="0000FF" w:themeColor="hyperlink"/>
      <w:u w:val="single"/>
    </w:rPr>
  </w:style>
  <w:style w:type="paragraph" w:styleId="ListParagraph">
    <w:name w:val="List Paragraph"/>
    <w:basedOn w:val="Normal"/>
    <w:uiPriority w:val="34"/>
    <w:qFormat/>
    <w:rsid w:val="00435A6D"/>
    <w:pPr>
      <w:ind w:left="720"/>
      <w:contextualSpacing/>
    </w:pPr>
  </w:style>
  <w:style w:type="paragraph" w:styleId="FootnoteText">
    <w:name w:val="footnote text"/>
    <w:basedOn w:val="Normal"/>
    <w:link w:val="FootnoteTextChar"/>
    <w:uiPriority w:val="99"/>
    <w:unhideWhenUsed/>
    <w:rsid w:val="009A0480"/>
    <w:rPr>
      <w:sz w:val="24"/>
      <w:szCs w:val="24"/>
    </w:rPr>
  </w:style>
  <w:style w:type="character" w:customStyle="1" w:styleId="FootnoteTextChar">
    <w:name w:val="Footnote Text Char"/>
    <w:basedOn w:val="DefaultParagraphFont"/>
    <w:link w:val="FootnoteText"/>
    <w:uiPriority w:val="99"/>
    <w:rsid w:val="009A0480"/>
    <w:rPr>
      <w:sz w:val="24"/>
      <w:szCs w:val="24"/>
    </w:rPr>
  </w:style>
  <w:style w:type="character" w:styleId="FootnoteReference">
    <w:name w:val="footnote reference"/>
    <w:basedOn w:val="DefaultParagraphFont"/>
    <w:uiPriority w:val="99"/>
    <w:unhideWhenUsed/>
    <w:rsid w:val="009A0480"/>
    <w:rPr>
      <w:vertAlign w:val="superscript"/>
    </w:rPr>
  </w:style>
  <w:style w:type="paragraph" w:customStyle="1" w:styleId="Default">
    <w:name w:val="Default"/>
    <w:rsid w:val="006F5CA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35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4546">
      <w:bodyDiv w:val="1"/>
      <w:marLeft w:val="0"/>
      <w:marRight w:val="0"/>
      <w:marTop w:val="0"/>
      <w:marBottom w:val="0"/>
      <w:divBdr>
        <w:top w:val="none" w:sz="0" w:space="0" w:color="auto"/>
        <w:left w:val="none" w:sz="0" w:space="0" w:color="auto"/>
        <w:bottom w:val="none" w:sz="0" w:space="0" w:color="auto"/>
        <w:right w:val="none" w:sz="0" w:space="0" w:color="auto"/>
      </w:divBdr>
      <w:divsChild>
        <w:div w:id="475876000">
          <w:marLeft w:val="0"/>
          <w:marRight w:val="0"/>
          <w:marTop w:val="0"/>
          <w:marBottom w:val="0"/>
          <w:divBdr>
            <w:top w:val="none" w:sz="0" w:space="0" w:color="auto"/>
            <w:left w:val="none" w:sz="0" w:space="0" w:color="auto"/>
            <w:bottom w:val="none" w:sz="0" w:space="0" w:color="auto"/>
            <w:right w:val="none" w:sz="0" w:space="0" w:color="auto"/>
          </w:divBdr>
          <w:divsChild>
            <w:div w:id="643656278">
              <w:marLeft w:val="0"/>
              <w:marRight w:val="0"/>
              <w:marTop w:val="0"/>
              <w:marBottom w:val="0"/>
              <w:divBdr>
                <w:top w:val="none" w:sz="0" w:space="0" w:color="auto"/>
                <w:left w:val="none" w:sz="0" w:space="0" w:color="auto"/>
                <w:bottom w:val="none" w:sz="0" w:space="0" w:color="auto"/>
                <w:right w:val="none" w:sz="0" w:space="0" w:color="auto"/>
              </w:divBdr>
              <w:divsChild>
                <w:div w:id="1872104183">
                  <w:marLeft w:val="0"/>
                  <w:marRight w:val="0"/>
                  <w:marTop w:val="0"/>
                  <w:marBottom w:val="0"/>
                  <w:divBdr>
                    <w:top w:val="none" w:sz="0" w:space="0" w:color="auto"/>
                    <w:left w:val="none" w:sz="0" w:space="0" w:color="auto"/>
                    <w:bottom w:val="none" w:sz="0" w:space="0" w:color="auto"/>
                    <w:right w:val="none" w:sz="0" w:space="0" w:color="auto"/>
                  </w:divBdr>
                  <w:divsChild>
                    <w:div w:id="1807694792">
                      <w:marLeft w:val="0"/>
                      <w:marRight w:val="0"/>
                      <w:marTop w:val="0"/>
                      <w:marBottom w:val="0"/>
                      <w:divBdr>
                        <w:top w:val="none" w:sz="0" w:space="0" w:color="auto"/>
                        <w:left w:val="none" w:sz="0" w:space="0" w:color="auto"/>
                        <w:bottom w:val="none" w:sz="0" w:space="0" w:color="auto"/>
                        <w:right w:val="none" w:sz="0" w:space="0" w:color="auto"/>
                      </w:divBdr>
                      <w:divsChild>
                        <w:div w:id="1730297216">
                          <w:marLeft w:val="0"/>
                          <w:marRight w:val="0"/>
                          <w:marTop w:val="0"/>
                          <w:marBottom w:val="0"/>
                          <w:divBdr>
                            <w:top w:val="none" w:sz="0" w:space="0" w:color="auto"/>
                            <w:left w:val="none" w:sz="0" w:space="0" w:color="auto"/>
                            <w:bottom w:val="none" w:sz="0" w:space="0" w:color="auto"/>
                            <w:right w:val="none" w:sz="0" w:space="0" w:color="auto"/>
                          </w:divBdr>
                          <w:divsChild>
                            <w:div w:id="26493746">
                              <w:marLeft w:val="0"/>
                              <w:marRight w:val="0"/>
                              <w:marTop w:val="0"/>
                              <w:marBottom w:val="0"/>
                              <w:divBdr>
                                <w:top w:val="none" w:sz="0" w:space="0" w:color="auto"/>
                                <w:left w:val="none" w:sz="0" w:space="0" w:color="auto"/>
                                <w:bottom w:val="none" w:sz="0" w:space="0" w:color="auto"/>
                                <w:right w:val="none" w:sz="0" w:space="0" w:color="auto"/>
                              </w:divBdr>
                              <w:divsChild>
                                <w:div w:id="1282764177">
                                  <w:marLeft w:val="0"/>
                                  <w:marRight w:val="0"/>
                                  <w:marTop w:val="0"/>
                                  <w:marBottom w:val="0"/>
                                  <w:divBdr>
                                    <w:top w:val="none" w:sz="0" w:space="0" w:color="auto"/>
                                    <w:left w:val="none" w:sz="0" w:space="0" w:color="auto"/>
                                    <w:bottom w:val="none" w:sz="0" w:space="0" w:color="auto"/>
                                    <w:right w:val="none" w:sz="0" w:space="0" w:color="auto"/>
                                  </w:divBdr>
                                  <w:divsChild>
                                    <w:div w:id="15163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367000">
      <w:bodyDiv w:val="1"/>
      <w:marLeft w:val="0"/>
      <w:marRight w:val="0"/>
      <w:marTop w:val="0"/>
      <w:marBottom w:val="0"/>
      <w:divBdr>
        <w:top w:val="none" w:sz="0" w:space="0" w:color="auto"/>
        <w:left w:val="none" w:sz="0" w:space="0" w:color="auto"/>
        <w:bottom w:val="none" w:sz="0" w:space="0" w:color="auto"/>
        <w:right w:val="none" w:sz="0" w:space="0" w:color="auto"/>
      </w:divBdr>
      <w:divsChild>
        <w:div w:id="551769905">
          <w:marLeft w:val="0"/>
          <w:marRight w:val="0"/>
          <w:marTop w:val="0"/>
          <w:marBottom w:val="0"/>
          <w:divBdr>
            <w:top w:val="none" w:sz="0" w:space="0" w:color="auto"/>
            <w:left w:val="none" w:sz="0" w:space="0" w:color="auto"/>
            <w:bottom w:val="none" w:sz="0" w:space="0" w:color="auto"/>
            <w:right w:val="none" w:sz="0" w:space="0" w:color="auto"/>
          </w:divBdr>
          <w:divsChild>
            <w:div w:id="275523064">
              <w:marLeft w:val="0"/>
              <w:marRight w:val="0"/>
              <w:marTop w:val="0"/>
              <w:marBottom w:val="0"/>
              <w:divBdr>
                <w:top w:val="none" w:sz="0" w:space="0" w:color="auto"/>
                <w:left w:val="none" w:sz="0" w:space="0" w:color="auto"/>
                <w:bottom w:val="none" w:sz="0" w:space="0" w:color="auto"/>
                <w:right w:val="none" w:sz="0" w:space="0" w:color="auto"/>
              </w:divBdr>
              <w:divsChild>
                <w:div w:id="809440525">
                  <w:marLeft w:val="0"/>
                  <w:marRight w:val="0"/>
                  <w:marTop w:val="0"/>
                  <w:marBottom w:val="0"/>
                  <w:divBdr>
                    <w:top w:val="none" w:sz="0" w:space="0" w:color="auto"/>
                    <w:left w:val="none" w:sz="0" w:space="0" w:color="auto"/>
                    <w:bottom w:val="none" w:sz="0" w:space="0" w:color="auto"/>
                    <w:right w:val="none" w:sz="0" w:space="0" w:color="auto"/>
                  </w:divBdr>
                  <w:divsChild>
                    <w:div w:id="1180587162">
                      <w:marLeft w:val="0"/>
                      <w:marRight w:val="0"/>
                      <w:marTop w:val="0"/>
                      <w:marBottom w:val="0"/>
                      <w:divBdr>
                        <w:top w:val="none" w:sz="0" w:space="0" w:color="auto"/>
                        <w:left w:val="none" w:sz="0" w:space="0" w:color="auto"/>
                        <w:bottom w:val="none" w:sz="0" w:space="0" w:color="auto"/>
                        <w:right w:val="none" w:sz="0" w:space="0" w:color="auto"/>
                      </w:divBdr>
                      <w:divsChild>
                        <w:div w:id="157186395">
                          <w:marLeft w:val="0"/>
                          <w:marRight w:val="0"/>
                          <w:marTop w:val="0"/>
                          <w:marBottom w:val="0"/>
                          <w:divBdr>
                            <w:top w:val="none" w:sz="0" w:space="0" w:color="auto"/>
                            <w:left w:val="none" w:sz="0" w:space="0" w:color="auto"/>
                            <w:bottom w:val="none" w:sz="0" w:space="0" w:color="auto"/>
                            <w:right w:val="none" w:sz="0" w:space="0" w:color="auto"/>
                          </w:divBdr>
                          <w:divsChild>
                            <w:div w:id="1552962673">
                              <w:marLeft w:val="0"/>
                              <w:marRight w:val="0"/>
                              <w:marTop w:val="0"/>
                              <w:marBottom w:val="0"/>
                              <w:divBdr>
                                <w:top w:val="none" w:sz="0" w:space="0" w:color="auto"/>
                                <w:left w:val="none" w:sz="0" w:space="0" w:color="auto"/>
                                <w:bottom w:val="none" w:sz="0" w:space="0" w:color="auto"/>
                                <w:right w:val="none" w:sz="0" w:space="0" w:color="auto"/>
                              </w:divBdr>
                              <w:divsChild>
                                <w:div w:id="1120877945">
                                  <w:marLeft w:val="0"/>
                                  <w:marRight w:val="0"/>
                                  <w:marTop w:val="0"/>
                                  <w:marBottom w:val="0"/>
                                  <w:divBdr>
                                    <w:top w:val="none" w:sz="0" w:space="0" w:color="auto"/>
                                    <w:left w:val="none" w:sz="0" w:space="0" w:color="auto"/>
                                    <w:bottom w:val="none" w:sz="0" w:space="0" w:color="auto"/>
                                    <w:right w:val="none" w:sz="0" w:space="0" w:color="auto"/>
                                  </w:divBdr>
                                  <w:divsChild>
                                    <w:div w:id="3437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627915">
      <w:bodyDiv w:val="1"/>
      <w:marLeft w:val="0"/>
      <w:marRight w:val="0"/>
      <w:marTop w:val="0"/>
      <w:marBottom w:val="0"/>
      <w:divBdr>
        <w:top w:val="none" w:sz="0" w:space="0" w:color="auto"/>
        <w:left w:val="none" w:sz="0" w:space="0" w:color="auto"/>
        <w:bottom w:val="none" w:sz="0" w:space="0" w:color="auto"/>
        <w:right w:val="none" w:sz="0" w:space="0" w:color="auto"/>
      </w:divBdr>
    </w:div>
    <w:div w:id="812257966">
      <w:bodyDiv w:val="1"/>
      <w:marLeft w:val="0"/>
      <w:marRight w:val="0"/>
      <w:marTop w:val="0"/>
      <w:marBottom w:val="0"/>
      <w:divBdr>
        <w:top w:val="none" w:sz="0" w:space="0" w:color="auto"/>
        <w:left w:val="none" w:sz="0" w:space="0" w:color="auto"/>
        <w:bottom w:val="none" w:sz="0" w:space="0" w:color="auto"/>
        <w:right w:val="none" w:sz="0" w:space="0" w:color="auto"/>
      </w:divBdr>
      <w:divsChild>
        <w:div w:id="1169519922">
          <w:marLeft w:val="0"/>
          <w:marRight w:val="0"/>
          <w:marTop w:val="0"/>
          <w:marBottom w:val="0"/>
          <w:divBdr>
            <w:top w:val="none" w:sz="0" w:space="0" w:color="auto"/>
            <w:left w:val="none" w:sz="0" w:space="0" w:color="auto"/>
            <w:bottom w:val="none" w:sz="0" w:space="0" w:color="auto"/>
            <w:right w:val="none" w:sz="0" w:space="0" w:color="auto"/>
          </w:divBdr>
          <w:divsChild>
            <w:div w:id="2055502495">
              <w:marLeft w:val="0"/>
              <w:marRight w:val="0"/>
              <w:marTop w:val="0"/>
              <w:marBottom w:val="0"/>
              <w:divBdr>
                <w:top w:val="none" w:sz="0" w:space="0" w:color="auto"/>
                <w:left w:val="none" w:sz="0" w:space="0" w:color="auto"/>
                <w:bottom w:val="none" w:sz="0" w:space="0" w:color="auto"/>
                <w:right w:val="none" w:sz="0" w:space="0" w:color="auto"/>
              </w:divBdr>
              <w:divsChild>
                <w:div w:id="2121296573">
                  <w:marLeft w:val="0"/>
                  <w:marRight w:val="0"/>
                  <w:marTop w:val="0"/>
                  <w:marBottom w:val="0"/>
                  <w:divBdr>
                    <w:top w:val="none" w:sz="0" w:space="0" w:color="auto"/>
                    <w:left w:val="none" w:sz="0" w:space="0" w:color="auto"/>
                    <w:bottom w:val="none" w:sz="0" w:space="0" w:color="auto"/>
                    <w:right w:val="none" w:sz="0" w:space="0" w:color="auto"/>
                  </w:divBdr>
                  <w:divsChild>
                    <w:div w:id="511725503">
                      <w:marLeft w:val="0"/>
                      <w:marRight w:val="0"/>
                      <w:marTop w:val="0"/>
                      <w:marBottom w:val="0"/>
                      <w:divBdr>
                        <w:top w:val="none" w:sz="0" w:space="0" w:color="auto"/>
                        <w:left w:val="none" w:sz="0" w:space="0" w:color="auto"/>
                        <w:bottom w:val="none" w:sz="0" w:space="0" w:color="auto"/>
                        <w:right w:val="none" w:sz="0" w:space="0" w:color="auto"/>
                      </w:divBdr>
                      <w:divsChild>
                        <w:div w:id="1550150270">
                          <w:marLeft w:val="0"/>
                          <w:marRight w:val="0"/>
                          <w:marTop w:val="0"/>
                          <w:marBottom w:val="0"/>
                          <w:divBdr>
                            <w:top w:val="none" w:sz="0" w:space="0" w:color="auto"/>
                            <w:left w:val="none" w:sz="0" w:space="0" w:color="auto"/>
                            <w:bottom w:val="none" w:sz="0" w:space="0" w:color="auto"/>
                            <w:right w:val="none" w:sz="0" w:space="0" w:color="auto"/>
                          </w:divBdr>
                          <w:divsChild>
                            <w:div w:id="757485736">
                              <w:marLeft w:val="0"/>
                              <w:marRight w:val="0"/>
                              <w:marTop w:val="0"/>
                              <w:marBottom w:val="0"/>
                              <w:divBdr>
                                <w:top w:val="none" w:sz="0" w:space="0" w:color="auto"/>
                                <w:left w:val="none" w:sz="0" w:space="0" w:color="auto"/>
                                <w:bottom w:val="none" w:sz="0" w:space="0" w:color="auto"/>
                                <w:right w:val="none" w:sz="0" w:space="0" w:color="auto"/>
                              </w:divBdr>
                              <w:divsChild>
                                <w:div w:id="482699598">
                                  <w:marLeft w:val="0"/>
                                  <w:marRight w:val="0"/>
                                  <w:marTop w:val="0"/>
                                  <w:marBottom w:val="0"/>
                                  <w:divBdr>
                                    <w:top w:val="none" w:sz="0" w:space="0" w:color="auto"/>
                                    <w:left w:val="none" w:sz="0" w:space="0" w:color="auto"/>
                                    <w:bottom w:val="none" w:sz="0" w:space="0" w:color="auto"/>
                                    <w:right w:val="none" w:sz="0" w:space="0" w:color="auto"/>
                                  </w:divBdr>
                                  <w:divsChild>
                                    <w:div w:id="1514369656">
                                      <w:marLeft w:val="0"/>
                                      <w:marRight w:val="0"/>
                                      <w:marTop w:val="0"/>
                                      <w:marBottom w:val="0"/>
                                      <w:divBdr>
                                        <w:top w:val="none" w:sz="0" w:space="0" w:color="auto"/>
                                        <w:left w:val="none" w:sz="0" w:space="0" w:color="auto"/>
                                        <w:bottom w:val="none" w:sz="0" w:space="0" w:color="auto"/>
                                        <w:right w:val="none" w:sz="0" w:space="0" w:color="auto"/>
                                      </w:divBdr>
                                    </w:div>
                                  </w:divsChild>
                                </w:div>
                                <w:div w:id="2409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579022">
      <w:bodyDiv w:val="1"/>
      <w:marLeft w:val="0"/>
      <w:marRight w:val="0"/>
      <w:marTop w:val="0"/>
      <w:marBottom w:val="0"/>
      <w:divBdr>
        <w:top w:val="none" w:sz="0" w:space="0" w:color="auto"/>
        <w:left w:val="none" w:sz="0" w:space="0" w:color="auto"/>
        <w:bottom w:val="none" w:sz="0" w:space="0" w:color="auto"/>
        <w:right w:val="none" w:sz="0" w:space="0" w:color="auto"/>
      </w:divBdr>
    </w:div>
    <w:div w:id="1380519957">
      <w:bodyDiv w:val="1"/>
      <w:marLeft w:val="0"/>
      <w:marRight w:val="0"/>
      <w:marTop w:val="0"/>
      <w:marBottom w:val="0"/>
      <w:divBdr>
        <w:top w:val="none" w:sz="0" w:space="0" w:color="auto"/>
        <w:left w:val="none" w:sz="0" w:space="0" w:color="auto"/>
        <w:bottom w:val="none" w:sz="0" w:space="0" w:color="auto"/>
        <w:right w:val="none" w:sz="0" w:space="0" w:color="auto"/>
      </w:divBdr>
    </w:div>
    <w:div w:id="1750420481">
      <w:bodyDiv w:val="1"/>
      <w:marLeft w:val="0"/>
      <w:marRight w:val="0"/>
      <w:marTop w:val="0"/>
      <w:marBottom w:val="0"/>
      <w:divBdr>
        <w:top w:val="none" w:sz="0" w:space="0" w:color="auto"/>
        <w:left w:val="none" w:sz="0" w:space="0" w:color="auto"/>
        <w:bottom w:val="none" w:sz="0" w:space="0" w:color="auto"/>
        <w:right w:val="none" w:sz="0" w:space="0" w:color="auto"/>
      </w:divBdr>
    </w:div>
    <w:div w:id="1965500070">
      <w:bodyDiv w:val="1"/>
      <w:marLeft w:val="0"/>
      <w:marRight w:val="0"/>
      <w:marTop w:val="0"/>
      <w:marBottom w:val="0"/>
      <w:divBdr>
        <w:top w:val="none" w:sz="0" w:space="0" w:color="auto"/>
        <w:left w:val="none" w:sz="0" w:space="0" w:color="auto"/>
        <w:bottom w:val="none" w:sz="0" w:space="0" w:color="auto"/>
        <w:right w:val="none" w:sz="0" w:space="0" w:color="auto"/>
      </w:divBdr>
    </w:div>
    <w:div w:id="19692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viland@nanophys.kth.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oscar@kth.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cke@speech.kth.se" TargetMode="External"/><Relationship Id="rId5" Type="http://schemas.openxmlformats.org/officeDocument/2006/relationships/settings" Target="settings.xml"/><Relationship Id="rId15" Type="http://schemas.openxmlformats.org/officeDocument/2006/relationships/hyperlink" Target="mailto:dansod@kth.se" TargetMode="External"/><Relationship Id="rId10" Type="http://schemas.openxmlformats.org/officeDocument/2006/relationships/hyperlink" Target="mailto:thure@csc.kth.s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anik@csc.kth.se" TargetMode="External"/><Relationship Id="rId14" Type="http://schemas.openxmlformats.org/officeDocument/2006/relationships/hyperlink" Target="mailto:erwinl@pdc.kth.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OFFICE\TEMPLATES\KTH_Rappor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0182B46DCD42579B79AD407DE8CDF9"/>
        <w:category>
          <w:name w:val="General"/>
          <w:gallery w:val="placeholder"/>
        </w:category>
        <w:types>
          <w:type w:val="bbPlcHdr"/>
        </w:types>
        <w:behaviors>
          <w:behavior w:val="content"/>
        </w:behaviors>
        <w:guid w:val="{02512013-C1E4-47E9-B829-5B76B6429836}"/>
      </w:docPartPr>
      <w:docPartBody>
        <w:p w:rsidR="008E4402" w:rsidRDefault="008E4402">
          <w:pPr>
            <w:pStyle w:val="1C0182B46DCD42579B79AD407DE8CDF9"/>
          </w:pPr>
          <w:r w:rsidRPr="00EC1F8F">
            <w:t>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2"/>
    <w:rsid w:val="000906FE"/>
    <w:rsid w:val="007F3DEE"/>
    <w:rsid w:val="008E440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CD3D3CE8BA4B3AA9C2F7213A07775F">
    <w:name w:val="26CD3D3CE8BA4B3AA9C2F7213A07775F"/>
  </w:style>
  <w:style w:type="paragraph" w:customStyle="1" w:styleId="1C0182B46DCD42579B79AD407DE8CDF9">
    <w:name w:val="1C0182B46DCD42579B79AD407DE8CD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CD3D3CE8BA4B3AA9C2F7213A07775F">
    <w:name w:val="26CD3D3CE8BA4B3AA9C2F7213A07775F"/>
  </w:style>
  <w:style w:type="paragraph" w:customStyle="1" w:styleId="1C0182B46DCD42579B79AD407DE8CDF9">
    <w:name w:val="1C0182B46DCD42579B79AD407DE8C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1DCD-442D-4278-9178-218019D2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KTH_Rapportmall</Template>
  <TotalTime>0</TotalTime>
  <Pages>12</Pages>
  <Words>4290</Words>
  <Characters>22737</Characters>
  <Application>Microsoft Office Word</Application>
  <DocSecurity>0</DocSecurity>
  <Lines>189</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2015-06-03T13:23:00Z</dcterms:created>
  <dcterms:modified xsi:type="dcterms:W3CDTF">2015-06-03T13:26:00Z</dcterms:modified>
</cp:coreProperties>
</file>