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923B34" w14:textId="77777777" w:rsidR="00A26C3E" w:rsidRPr="00BB4185" w:rsidRDefault="00A26C3E" w:rsidP="00A26C3E">
      <w:pPr>
        <w:pStyle w:val="UmUNormal"/>
        <w:spacing w:after="0"/>
        <w:rPr>
          <w:b/>
        </w:rPr>
      </w:pPr>
      <w:bookmarkStart w:id="0" w:name="_GoBack"/>
      <w:bookmarkEnd w:id="0"/>
      <w:r>
        <w:rPr>
          <w:b/>
        </w:rPr>
        <w:t xml:space="preserve">Template instructions </w:t>
      </w:r>
    </w:p>
    <w:p w14:paraId="5CF61A06" w14:textId="77777777" w:rsidR="00A26C3E" w:rsidRPr="00BB4185" w:rsidRDefault="00A26C3E" w:rsidP="00A26C3E">
      <w:pPr>
        <w:pStyle w:val="UmUNormal"/>
      </w:pPr>
      <w:r>
        <w:t xml:space="preserve">Follow the template headings when you create a new course syllabus or revise an existing one. The text in blue is there to assist you and is to be replaced with the information relevant for the course. </w:t>
      </w:r>
    </w:p>
    <w:p w14:paraId="685133BD" w14:textId="77777777" w:rsidR="00A26C3E" w:rsidRPr="00BB4185" w:rsidRDefault="00A26C3E" w:rsidP="00A26C3E">
      <w:pPr>
        <w:pStyle w:val="UmUNormal"/>
      </w:pPr>
      <w:r>
        <w:t xml:space="preserve">The template is based on the University’s </w:t>
      </w:r>
      <w:r>
        <w:rPr>
          <w:i/>
        </w:rPr>
        <w:t>Rules for course syllabi and literature lists</w:t>
      </w:r>
      <w:r>
        <w:t xml:space="preserve"> FS1.1-575-22, which contains more detailed rules and support. </w:t>
      </w:r>
    </w:p>
    <w:p w14:paraId="0E3AD884" w14:textId="77777777" w:rsidR="00BE1F4C" w:rsidRPr="00A26C3E" w:rsidRDefault="003B3878">
      <w:pPr>
        <w:pStyle w:val="UmUNormal"/>
      </w:pPr>
      <w:r>
        <w:t xml:space="preserve">Including the literature list in the course syllabus </w:t>
      </w:r>
      <w:r>
        <w:rPr>
          <w:u w:val="single"/>
        </w:rPr>
        <w:t>is not</w:t>
      </w:r>
      <w:r>
        <w:t xml:space="preserve"> recommended; any revisions to the literature list would then require a revision of the course syllabus. However, course literature must be published in Selma or other system approved by the Student Services Office. This enables students to access the list together with the course syllabus.</w:t>
      </w:r>
    </w:p>
    <w:p w14:paraId="0291074A" w14:textId="77777777" w:rsidR="007829E1" w:rsidRPr="00BE2106" w:rsidRDefault="007829E1" w:rsidP="00BE2106">
      <w:pPr>
        <w:pStyle w:val="UmUNormal"/>
      </w:pPr>
    </w:p>
    <w:p w14:paraId="10D1525D" w14:textId="77777777" w:rsidR="003334BE" w:rsidRPr="001C6498" w:rsidRDefault="009160F9">
      <w:pPr>
        <w:spacing w:after="0" w:line="440" w:lineRule="exact"/>
        <w:rPr>
          <w:b/>
          <w:sz w:val="40"/>
        </w:rPr>
      </w:pPr>
      <w:r>
        <w:rPr>
          <w:b/>
          <w:sz w:val="40"/>
        </w:rPr>
        <w:t>Course title in Swedish, xx hp</w:t>
      </w:r>
    </w:p>
    <w:p w14:paraId="49518145" w14:textId="77777777" w:rsidR="003334BE" w:rsidRPr="002F0356" w:rsidRDefault="009160F9">
      <w:pPr>
        <w:pStyle w:val="UmUNormal"/>
        <w:spacing w:line="440" w:lineRule="exact"/>
        <w:rPr>
          <w:sz w:val="28"/>
        </w:rPr>
      </w:pPr>
      <w:r>
        <w:rPr>
          <w:sz w:val="28"/>
        </w:rPr>
        <w:t>Course title in English, xx credits (capitalise all words except definite and indefinite articles, prepositions and conjunctions, unless these are at the first word in the title or subtitle)</w:t>
      </w:r>
    </w:p>
    <w:p w14:paraId="56D9097C" w14:textId="77777777" w:rsidR="00926235" w:rsidRPr="00BB4185" w:rsidRDefault="001C6498">
      <w:pPr>
        <w:pStyle w:val="UmUNormal"/>
        <w:spacing w:after="0"/>
      </w:pPr>
      <w:r>
        <w:rPr>
          <w:b/>
        </w:rPr>
        <w:t>Course code:</w:t>
      </w:r>
      <w:r>
        <w:t xml:space="preserve"> </w:t>
      </w:r>
    </w:p>
    <w:p w14:paraId="5F4DB695" w14:textId="77777777" w:rsidR="00CB1265" w:rsidRPr="00BB4185" w:rsidRDefault="00CB1265" w:rsidP="00CB1265">
      <w:pPr>
        <w:pStyle w:val="UmUNormal"/>
        <w:spacing w:after="0"/>
        <w:rPr>
          <w:b/>
          <w:color w:val="5B9BD5" w:themeColor="accent1"/>
        </w:rPr>
      </w:pPr>
      <w:r>
        <w:rPr>
          <w:b/>
        </w:rPr>
        <w:t>Grading scale:</w:t>
      </w:r>
      <w:r>
        <w:t xml:space="preserve"> </w:t>
      </w:r>
      <w:r>
        <w:rPr>
          <w:color w:val="5B9BD5" w:themeColor="accent1"/>
        </w:rPr>
        <w:t>(UV for three-step grading scale)</w:t>
      </w:r>
    </w:p>
    <w:p w14:paraId="4362587B" w14:textId="77777777" w:rsidR="009160F9" w:rsidRPr="00A75441" w:rsidRDefault="009160F9" w:rsidP="00CB1265">
      <w:pPr>
        <w:pStyle w:val="UmUNormal"/>
        <w:spacing w:after="0"/>
        <w:rPr>
          <w:color w:val="5B9BD5" w:themeColor="accent1"/>
        </w:rPr>
      </w:pPr>
      <w:r>
        <w:rPr>
          <w:b/>
        </w:rPr>
        <w:t>Disciplinary domain</w:t>
      </w:r>
      <w:r w:rsidR="00A75441">
        <w:rPr>
          <w:b/>
        </w:rPr>
        <w:t>:</w:t>
      </w:r>
      <w:r w:rsidRPr="00A75441">
        <w:rPr>
          <w:color w:val="5B9BD5" w:themeColor="accent1"/>
        </w:rPr>
        <w:t xml:space="preserve"> (Contact the faculty director of studies) </w:t>
      </w:r>
    </w:p>
    <w:p w14:paraId="2EE9452B" w14:textId="77777777" w:rsidR="009160F9" w:rsidRPr="00BB4185" w:rsidRDefault="00A82043" w:rsidP="00CB1265">
      <w:pPr>
        <w:pStyle w:val="UmUNormal"/>
        <w:spacing w:after="0"/>
        <w:rPr>
          <w:b/>
        </w:rPr>
      </w:pPr>
      <w:r>
        <w:rPr>
          <w:b/>
        </w:rPr>
        <w:t xml:space="preserve">Education cycle: </w:t>
      </w:r>
      <w:r>
        <w:rPr>
          <w:color w:val="5B9BD5" w:themeColor="accent1"/>
        </w:rPr>
        <w:t>(State first or second-cycle)</w:t>
      </w:r>
    </w:p>
    <w:p w14:paraId="460F5E55" w14:textId="77777777" w:rsidR="00CB1265" w:rsidRPr="00BB4185" w:rsidRDefault="00CB1265" w:rsidP="00CB1265">
      <w:pPr>
        <w:pStyle w:val="UmUNormal"/>
        <w:spacing w:after="0"/>
        <w:rPr>
          <w:b/>
        </w:rPr>
      </w:pPr>
      <w:r>
        <w:rPr>
          <w:b/>
        </w:rPr>
        <w:t>Statistics Sweden (SCB) subject group:</w:t>
      </w:r>
    </w:p>
    <w:p w14:paraId="56A2C94E" w14:textId="77777777" w:rsidR="00CB1265" w:rsidRPr="00BB4185" w:rsidRDefault="00CB1265" w:rsidP="00CB1265">
      <w:pPr>
        <w:pStyle w:val="UmUNormal"/>
        <w:spacing w:after="0"/>
        <w:rPr>
          <w:b/>
        </w:rPr>
      </w:pPr>
      <w:r>
        <w:rPr>
          <w:b/>
        </w:rPr>
        <w:t>Main field of study:</w:t>
      </w:r>
    </w:p>
    <w:p w14:paraId="3E119ACA" w14:textId="77777777" w:rsidR="00CB1265" w:rsidRPr="00BB4185" w:rsidRDefault="00CB1265" w:rsidP="00CB1265">
      <w:pPr>
        <w:pStyle w:val="UmUNormal"/>
        <w:spacing w:after="0"/>
        <w:rPr>
          <w:b/>
        </w:rPr>
      </w:pPr>
      <w:r>
        <w:rPr>
          <w:b/>
        </w:rPr>
        <w:t>Progressive specialisation:</w:t>
      </w:r>
    </w:p>
    <w:p w14:paraId="446C0EF9" w14:textId="77777777" w:rsidR="00926235" w:rsidRPr="00BB4185" w:rsidRDefault="009160F9">
      <w:pPr>
        <w:pStyle w:val="UmUNormal"/>
        <w:spacing w:after="0"/>
        <w:rPr>
          <w:b/>
        </w:rPr>
      </w:pPr>
      <w:r w:rsidRPr="00A75441">
        <w:rPr>
          <w:b/>
        </w:rPr>
        <w:t>Date of approval:</w:t>
      </w:r>
      <w:r>
        <w:t xml:space="preserve"> </w:t>
      </w:r>
      <w:r w:rsidRPr="00A75441">
        <w:rPr>
          <w:color w:val="5B9BD5" w:themeColor="accent1"/>
        </w:rPr>
        <w:t>DD/MONTH/YYYY</w:t>
      </w:r>
    </w:p>
    <w:p w14:paraId="00874D43" w14:textId="77777777" w:rsidR="00926235" w:rsidRPr="00BB4185" w:rsidRDefault="009160F9">
      <w:pPr>
        <w:pStyle w:val="UmUNormal"/>
        <w:spacing w:after="0"/>
        <w:rPr>
          <w:b/>
        </w:rPr>
      </w:pPr>
      <w:r>
        <w:rPr>
          <w:b/>
        </w:rPr>
        <w:t xml:space="preserve">Decision-making body: </w:t>
      </w:r>
      <w:r>
        <w:rPr>
          <w:color w:val="5B9BD5" w:themeColor="accent1"/>
        </w:rPr>
        <w:t>(State relevant Programme Council or Strategic Board for Education)</w:t>
      </w:r>
    </w:p>
    <w:p w14:paraId="61ABBEE8" w14:textId="77777777" w:rsidR="00926235" w:rsidRPr="00BB4185" w:rsidRDefault="009160F9">
      <w:pPr>
        <w:pStyle w:val="UmUNormal"/>
        <w:spacing w:after="0"/>
        <w:rPr>
          <w:b/>
          <w:color w:val="5B9BD5" w:themeColor="accent1"/>
        </w:rPr>
      </w:pPr>
      <w:r>
        <w:rPr>
          <w:b/>
        </w:rPr>
        <w:t>Date of revision:</w:t>
      </w:r>
      <w:r>
        <w:rPr>
          <w:b/>
          <w:color w:val="5B9BD5" w:themeColor="accent1"/>
        </w:rPr>
        <w:t xml:space="preserve"> </w:t>
      </w:r>
      <w:r>
        <w:rPr>
          <w:color w:val="5B9BD5" w:themeColor="accent1"/>
        </w:rPr>
        <w:t>DD MONTH YYYY (Delete heading with information about when the course was first established)</w:t>
      </w:r>
      <w:r>
        <w:t xml:space="preserve"> </w:t>
      </w:r>
    </w:p>
    <w:p w14:paraId="14C7B3A2" w14:textId="77777777" w:rsidR="00926235" w:rsidRPr="00BB4185" w:rsidRDefault="00926235">
      <w:pPr>
        <w:pStyle w:val="UmUNormal"/>
        <w:spacing w:after="0"/>
        <w:rPr>
          <w:b/>
        </w:rPr>
      </w:pPr>
      <w:r w:rsidRPr="00A75441">
        <w:rPr>
          <w:b/>
        </w:rPr>
        <w:t>Course syllabus valid from:</w:t>
      </w:r>
      <w:r>
        <w:t xml:space="preserve"> </w:t>
      </w:r>
      <w:r w:rsidRPr="00A75441">
        <w:rPr>
          <w:color w:val="5B9BD5" w:themeColor="accent1"/>
        </w:rPr>
        <w:t>year and week</w:t>
      </w:r>
    </w:p>
    <w:p w14:paraId="4C431BA0" w14:textId="77777777" w:rsidR="00926235" w:rsidRPr="002F0356" w:rsidRDefault="00926235">
      <w:pPr>
        <w:pStyle w:val="UmUNormal"/>
        <w:spacing w:after="0"/>
        <w:rPr>
          <w:b/>
        </w:rPr>
      </w:pPr>
      <w:r>
        <w:rPr>
          <w:b/>
        </w:rPr>
        <w:t>Responsible department or office:</w:t>
      </w:r>
    </w:p>
    <w:p w14:paraId="4587B7CB" w14:textId="77777777" w:rsidR="009160F9" w:rsidRDefault="009160F9" w:rsidP="009160F9">
      <w:pPr>
        <w:pStyle w:val="UmUNormal"/>
        <w:spacing w:after="0"/>
        <w:rPr>
          <w:b/>
        </w:rPr>
      </w:pPr>
    </w:p>
    <w:p w14:paraId="02A2CB74" w14:textId="77777777" w:rsidR="003334BE" w:rsidRDefault="003334BE">
      <w:pPr>
        <w:pStyle w:val="UmUNormal"/>
        <w:spacing w:after="0"/>
      </w:pPr>
    </w:p>
    <w:p w14:paraId="3A63D96A" w14:textId="77777777" w:rsidR="00926235" w:rsidRPr="006771C2" w:rsidRDefault="00926235">
      <w:pPr>
        <w:pStyle w:val="UmUNormal"/>
        <w:spacing w:after="0"/>
      </w:pPr>
    </w:p>
    <w:p w14:paraId="23987ACC" w14:textId="77777777" w:rsidR="00926235" w:rsidRDefault="00EA0EF0" w:rsidP="008B3318">
      <w:pPr>
        <w:pStyle w:val="UmUNormal"/>
        <w:spacing w:after="120"/>
        <w:rPr>
          <w:rFonts w:eastAsia="Times-Roman" w:cs="Times-Roman"/>
          <w:b/>
          <w:sz w:val="22"/>
          <w:szCs w:val="22"/>
        </w:rPr>
      </w:pPr>
      <w:r>
        <w:rPr>
          <w:b/>
          <w:sz w:val="22"/>
        </w:rPr>
        <w:t>Entry requirements</w:t>
      </w:r>
    </w:p>
    <w:p w14:paraId="2BABB2EF"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This is where the basic entry requirements are presented as well as any specific entry requirements</w:t>
      </w:r>
      <w:r w:rsidR="00A75441">
        <w:rPr>
          <w:rFonts w:ascii="Times New Roman" w:hAnsi="Times New Roman"/>
          <w:color w:val="5B9BD5" w:themeColor="accent1"/>
          <w:sz w:val="22"/>
        </w:rPr>
        <w:t xml:space="preserve"> </w:t>
      </w:r>
      <w:r>
        <w:rPr>
          <w:rFonts w:ascii="Times New Roman" w:hAnsi="Times New Roman"/>
          <w:color w:val="5B9BD5" w:themeColor="accent1"/>
          <w:sz w:val="22"/>
        </w:rPr>
        <w:t>for students to be able to benefit from the course and achieve the</w:t>
      </w:r>
      <w:r w:rsidR="00A75441">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intended course learning outcomes. The entry requirements stipulated in the course syllabus form the basis of how the student is assessed in</w:t>
      </w:r>
    </w:p>
    <w:p w14:paraId="74FC57F5"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the NyA admissions system. The entry requirements are to be set based on the information published on Aurora under Education and Research.</w:t>
      </w:r>
      <w:r>
        <w:t xml:space="preserve"> </w:t>
      </w:r>
      <w:r>
        <w:rPr>
          <w:rFonts w:ascii="Times New Roman" w:hAnsi="Times New Roman"/>
          <w:color w:val="5B9BD5" w:themeColor="accent1"/>
          <w:sz w:val="22"/>
        </w:rPr>
        <w:t xml:space="preserve">It is important to stipulate the necessary entry requirements. Avoid including course codes in the entry requirements. If the entry requirements are unclear, this may result in admitting students who lack the background to be able to benefit from the course and achieve its intended learning outcomes. Likewise, students who fulfil the necessary requirements to be able to benefit from the course and meet the intended learning outcomes may be deemed ineligible. The entry </w:t>
      </w:r>
      <w:r>
        <w:rPr>
          <w:rFonts w:ascii="Times New Roman" w:hAnsi="Times New Roman"/>
          <w:color w:val="5B9BD5" w:themeColor="accent1"/>
          <w:sz w:val="22"/>
        </w:rPr>
        <w:lastRenderedPageBreak/>
        <w:t>requirements for courses that have been published in the online course catalogue should not be changed while the academic year is ongoing.</w:t>
      </w:r>
    </w:p>
    <w:p w14:paraId="0FC749BE" w14:textId="77777777" w:rsidR="004C0100" w:rsidRPr="004C0100" w:rsidRDefault="004C0100" w:rsidP="004C0100">
      <w:pPr>
        <w:widowControl/>
        <w:suppressAutoHyphens w:val="0"/>
        <w:spacing w:after="0"/>
        <w:rPr>
          <w:rFonts w:ascii="Times New Roman" w:eastAsia="Times New Roman" w:hAnsi="Times New Roman" w:cs="Times New Roman"/>
          <w:color w:val="5B9BD5" w:themeColor="accent1"/>
          <w:sz w:val="22"/>
          <w:szCs w:val="22"/>
          <w:lang w:eastAsia="sv-SE"/>
        </w:rPr>
      </w:pPr>
    </w:p>
    <w:p w14:paraId="6B64BBB0" w14:textId="77777777" w:rsidR="009867BE" w:rsidRDefault="009867BE" w:rsidP="008B3318">
      <w:pPr>
        <w:pStyle w:val="UmUNormal"/>
        <w:spacing w:after="120"/>
        <w:rPr>
          <w:rFonts w:eastAsia="Times-Roman" w:cs="Times-Roman"/>
          <w:b/>
          <w:sz w:val="22"/>
          <w:szCs w:val="22"/>
        </w:rPr>
      </w:pPr>
    </w:p>
    <w:p w14:paraId="12813B96" w14:textId="77777777" w:rsidR="002F0356" w:rsidRDefault="002F0356" w:rsidP="008B3318">
      <w:pPr>
        <w:pStyle w:val="UmUNormal"/>
        <w:spacing w:after="120"/>
        <w:rPr>
          <w:rFonts w:eastAsia="Times-Roman" w:cs="Times-Roman"/>
          <w:b/>
          <w:sz w:val="22"/>
          <w:szCs w:val="22"/>
        </w:rPr>
      </w:pPr>
      <w:r>
        <w:rPr>
          <w:b/>
          <w:sz w:val="22"/>
        </w:rPr>
        <w:t>Objectives (intended learning outcomes)</w:t>
      </w:r>
    </w:p>
    <w:p w14:paraId="02D7ABA8" w14:textId="77777777" w:rsidR="00BB4185" w:rsidRDefault="00BB4185" w:rsidP="002959F9">
      <w:pPr>
        <w:widowControl/>
        <w:suppressAutoHyphens w:val="0"/>
        <w:spacing w:after="0"/>
        <w:rPr>
          <w:rFonts w:ascii="Times New Roman" w:eastAsia="Times New Roman" w:hAnsi="Times New Roman" w:cs="Times New Roman"/>
          <w:color w:val="5B9BD5" w:themeColor="accent1"/>
          <w:sz w:val="22"/>
          <w:szCs w:val="22"/>
          <w:lang w:eastAsia="sv-SE"/>
        </w:rPr>
      </w:pPr>
    </w:p>
    <w:p w14:paraId="26E10E6B" w14:textId="77777777" w:rsidR="00BB4185" w:rsidRDefault="002E4D3B" w:rsidP="00BB4185">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This is where you state the course objectives as intended learning outcomes. The intended learning outcomes</w:t>
      </w:r>
      <w:r w:rsidR="00A75441">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form the basis of assessment, examination and grading criteria, and state what is required</w:t>
      </w:r>
      <w:r w:rsidR="00A75441">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 xml:space="preserve">to pass the course. If the course is divided into modules (see under Contents), the intended learning outcomes can be divided into the different modules. The intended learning outcomes should ideally be linked to the examination, for example by numbering them. See Bloom’s Taxonomy for an example of how to formulate objectives relevant to the course's level. </w:t>
      </w:r>
    </w:p>
    <w:p w14:paraId="22F2F62B" w14:textId="77777777" w:rsid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p>
    <w:p w14:paraId="5DDA8B30"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lang w:eastAsia="sv-SE"/>
        </w:rPr>
      </w:pPr>
    </w:p>
    <w:p w14:paraId="241A99CA" w14:textId="77777777" w:rsidR="002E4D3B" w:rsidRPr="002E4D3B" w:rsidRDefault="002E4D3B" w:rsidP="002E4D3B">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The objectives are to be formulated so that:</w:t>
      </w:r>
    </w:p>
    <w:p w14:paraId="2B8A9CB2" w14:textId="77777777" w:rsidR="002E4D3B" w:rsidRPr="00A75441" w:rsidRDefault="002E4D3B" w:rsidP="00A75441">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it is clear what knowledge, understanding, competence, skills, judgement and approaches students should be able to</w:t>
      </w:r>
      <w:r w:rsidR="00A75441">
        <w:rPr>
          <w:rFonts w:ascii="Times New Roman" w:hAnsi="Times New Roman"/>
          <w:color w:val="5B9BD5" w:themeColor="accent1"/>
          <w:sz w:val="22"/>
        </w:rPr>
        <w:t xml:space="preserve"> </w:t>
      </w:r>
      <w:r w:rsidRPr="00A75441">
        <w:rPr>
          <w:rFonts w:ascii="Times New Roman" w:hAnsi="Times New Roman"/>
          <w:color w:val="5B9BD5" w:themeColor="accent1"/>
          <w:sz w:val="22"/>
        </w:rPr>
        <w:t>demonstrate on completing the course;</w:t>
      </w:r>
    </w:p>
    <w:p w14:paraId="7FAA28FC" w14:textId="77777777" w:rsidR="002E4D3B" w:rsidRPr="002E4D3B" w:rsidRDefault="002E4D3B" w:rsidP="002E4D3B">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they are clear to students, teachers and other stakeholders, such as prospective</w:t>
      </w:r>
    </w:p>
    <w:p w14:paraId="3DF340F6" w14:textId="77777777" w:rsidR="002E4D3B" w:rsidRPr="002E4D3B" w:rsidRDefault="002E4D3B" w:rsidP="00BB4185">
      <w:pPr>
        <w:pStyle w:val="Liststycke"/>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employers;</w:t>
      </w:r>
    </w:p>
    <w:p w14:paraId="380FE91F" w14:textId="77777777" w:rsidR="002E4D3B" w:rsidRPr="002E4D3B" w:rsidRDefault="002E4D3B" w:rsidP="002E4D3B">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they can form the basis for planning the course and programme;</w:t>
      </w:r>
    </w:p>
    <w:p w14:paraId="556F163D" w14:textId="77777777" w:rsidR="002E4D3B" w:rsidRPr="002E4D3B" w:rsidRDefault="002E4D3B" w:rsidP="002E4D3B">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they can be tested in examinations; and</w:t>
      </w:r>
    </w:p>
    <w:p w14:paraId="21B5030B" w14:textId="77777777" w:rsidR="003E2BEF" w:rsidRPr="00A75441" w:rsidRDefault="002E4D3B" w:rsidP="002959F9">
      <w:pPr>
        <w:pStyle w:val="Liststycke"/>
        <w:widowControl/>
        <w:numPr>
          <w:ilvl w:val="0"/>
          <w:numId w:val="7"/>
        </w:numPr>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they can form the basis for following up and assuring the quality of the course.</w:t>
      </w:r>
    </w:p>
    <w:p w14:paraId="38429184" w14:textId="77777777" w:rsidR="00A75441" w:rsidRPr="00A75441" w:rsidRDefault="00A75441" w:rsidP="00A75441">
      <w:pPr>
        <w:pStyle w:val="Liststycke"/>
        <w:widowControl/>
        <w:suppressAutoHyphens w:val="0"/>
        <w:spacing w:after="0"/>
        <w:rPr>
          <w:rFonts w:ascii="Times New Roman" w:eastAsia="Times New Roman" w:hAnsi="Times New Roman" w:cs="Times New Roman"/>
          <w:color w:val="5B9BD5" w:themeColor="accent1"/>
          <w:sz w:val="22"/>
          <w:szCs w:val="22"/>
        </w:rPr>
      </w:pPr>
    </w:p>
    <w:p w14:paraId="6CD54A98" w14:textId="77777777" w:rsidR="002959F9" w:rsidRDefault="002959F9" w:rsidP="002959F9">
      <w:pPr>
        <w:widowControl/>
        <w:suppressAutoHyphens w:val="0"/>
        <w:spacing w:after="0"/>
        <w:rPr>
          <w:rFonts w:ascii="Times New Roman" w:eastAsia="Times New Roman" w:hAnsi="Times New Roman" w:cs="Times New Roman"/>
          <w:color w:val="5B9BD5" w:themeColor="accent1"/>
          <w:sz w:val="22"/>
          <w:szCs w:val="22"/>
          <w:lang w:eastAsia="sv-SE"/>
        </w:rPr>
      </w:pPr>
    </w:p>
    <w:p w14:paraId="4D9B9AA9" w14:textId="77777777" w:rsidR="00A00F3F" w:rsidRPr="00FA0A88" w:rsidRDefault="00A00F3F" w:rsidP="002959F9">
      <w:pPr>
        <w:widowControl/>
        <w:suppressAutoHyphens w:val="0"/>
        <w:spacing w:after="0"/>
        <w:rPr>
          <w:rFonts w:cs="Arial"/>
          <w:i/>
          <w:sz w:val="20"/>
        </w:rPr>
      </w:pPr>
      <w:r>
        <w:rPr>
          <w:i/>
          <w:sz w:val="20"/>
        </w:rPr>
        <w:t>Knowledge and understanding:</w:t>
      </w:r>
    </w:p>
    <w:p w14:paraId="65891F88" w14:textId="77777777" w:rsidR="00A00F3F" w:rsidRDefault="00FA0A88" w:rsidP="00A00F3F">
      <w:pPr>
        <w:pStyle w:val="Text"/>
        <w:widowControl w:val="0"/>
        <w:tabs>
          <w:tab w:val="left" w:pos="0"/>
        </w:tabs>
        <w:spacing w:before="120" w:after="120" w:line="260" w:lineRule="atLeast"/>
        <w:rPr>
          <w:rFonts w:ascii="Georgia" w:hAnsi="Georgia" w:cs="Arial"/>
          <w:sz w:val="20"/>
        </w:rPr>
      </w:pPr>
      <w:r>
        <w:rPr>
          <w:rFonts w:ascii="Georgia" w:hAnsi="Georgia"/>
          <w:sz w:val="20"/>
        </w:rPr>
        <w:t>Students must be able to</w:t>
      </w:r>
    </w:p>
    <w:p w14:paraId="588B91F3" w14:textId="77777777" w:rsidR="002E4D3B" w:rsidRPr="00EC3207" w:rsidRDefault="002E4D3B" w:rsidP="00A00F3F">
      <w:pPr>
        <w:pStyle w:val="Text"/>
        <w:widowControl w:val="0"/>
        <w:tabs>
          <w:tab w:val="left" w:pos="0"/>
        </w:tabs>
        <w:spacing w:before="120" w:after="120" w:line="260" w:lineRule="atLeast"/>
        <w:rPr>
          <w:rFonts w:ascii="Georgia" w:hAnsi="Georgia" w:cs="Arial"/>
          <w:sz w:val="20"/>
        </w:rPr>
      </w:pPr>
    </w:p>
    <w:p w14:paraId="7D6B068B" w14:textId="77777777" w:rsidR="00A00F3F" w:rsidRDefault="00A00F3F" w:rsidP="00A00F3F">
      <w:pPr>
        <w:pStyle w:val="Text"/>
        <w:widowControl w:val="0"/>
        <w:tabs>
          <w:tab w:val="left" w:pos="0"/>
        </w:tabs>
        <w:spacing w:before="120" w:after="120" w:line="260" w:lineRule="atLeast"/>
        <w:rPr>
          <w:rFonts w:ascii="Georgia" w:hAnsi="Georgia" w:cs="Arial"/>
          <w:i/>
          <w:sz w:val="20"/>
        </w:rPr>
      </w:pPr>
      <w:r>
        <w:rPr>
          <w:rFonts w:ascii="Georgia" w:hAnsi="Georgia"/>
          <w:i/>
          <w:sz w:val="20"/>
        </w:rPr>
        <w:t xml:space="preserve">Skills and ability </w:t>
      </w:r>
    </w:p>
    <w:p w14:paraId="0DE6F896" w14:textId="77777777" w:rsidR="002E4D3B" w:rsidRDefault="00FA0A88" w:rsidP="00A00F3F">
      <w:pPr>
        <w:pStyle w:val="Text"/>
        <w:widowControl w:val="0"/>
        <w:tabs>
          <w:tab w:val="left" w:pos="0"/>
        </w:tabs>
        <w:spacing w:before="120" w:after="120" w:line="260" w:lineRule="atLeast"/>
        <w:rPr>
          <w:rFonts w:ascii="Georgia" w:hAnsi="Georgia" w:cs="Arial"/>
          <w:sz w:val="20"/>
        </w:rPr>
      </w:pPr>
      <w:r>
        <w:rPr>
          <w:rFonts w:ascii="Georgia" w:hAnsi="Georgia"/>
          <w:sz w:val="20"/>
        </w:rPr>
        <w:t>Students must be able to</w:t>
      </w:r>
    </w:p>
    <w:p w14:paraId="70DB5028" w14:textId="77777777" w:rsidR="002E4D3B" w:rsidRPr="00FA0A88" w:rsidRDefault="002E4D3B" w:rsidP="00A00F3F">
      <w:pPr>
        <w:pStyle w:val="Text"/>
        <w:widowControl w:val="0"/>
        <w:tabs>
          <w:tab w:val="left" w:pos="0"/>
        </w:tabs>
        <w:spacing w:before="120" w:after="120" w:line="260" w:lineRule="atLeast"/>
        <w:rPr>
          <w:rFonts w:ascii="Georgia" w:hAnsi="Georgia" w:cs="Arial"/>
          <w:sz w:val="20"/>
        </w:rPr>
      </w:pPr>
    </w:p>
    <w:p w14:paraId="289EFB2E" w14:textId="77777777" w:rsidR="00A00F3F" w:rsidRPr="00FA0A88" w:rsidRDefault="00A00F3F" w:rsidP="00A00F3F">
      <w:pPr>
        <w:pStyle w:val="Text"/>
        <w:widowControl w:val="0"/>
        <w:tabs>
          <w:tab w:val="left" w:pos="0"/>
        </w:tabs>
        <w:spacing w:before="120" w:after="120" w:line="260" w:lineRule="atLeast"/>
        <w:rPr>
          <w:rFonts w:ascii="Georgia" w:hAnsi="Georgia" w:cs="Arial"/>
          <w:i/>
          <w:sz w:val="20"/>
        </w:rPr>
      </w:pPr>
      <w:r>
        <w:rPr>
          <w:rFonts w:ascii="Georgia" w:hAnsi="Georgia"/>
          <w:i/>
          <w:sz w:val="20"/>
        </w:rPr>
        <w:t xml:space="preserve">Judgement and approach </w:t>
      </w:r>
    </w:p>
    <w:p w14:paraId="7616D5DF" w14:textId="77777777" w:rsidR="00A00F3F" w:rsidRPr="00FA0A88" w:rsidRDefault="00FA0A88" w:rsidP="00FA0A88">
      <w:pPr>
        <w:pStyle w:val="Text"/>
        <w:widowControl w:val="0"/>
        <w:tabs>
          <w:tab w:val="left" w:pos="0"/>
        </w:tabs>
        <w:spacing w:before="120" w:after="120" w:line="260" w:lineRule="atLeast"/>
        <w:rPr>
          <w:rFonts w:ascii="Georgia" w:hAnsi="Georgia" w:cs="Arial"/>
          <w:sz w:val="20"/>
        </w:rPr>
      </w:pPr>
      <w:r>
        <w:rPr>
          <w:rFonts w:ascii="Georgia" w:hAnsi="Georgia"/>
          <w:sz w:val="20"/>
        </w:rPr>
        <w:t>Students must be able to</w:t>
      </w:r>
    </w:p>
    <w:p w14:paraId="6517B4C2" w14:textId="77777777" w:rsidR="002F0356" w:rsidRPr="002F0356" w:rsidRDefault="002F0356" w:rsidP="008B3318">
      <w:pPr>
        <w:pStyle w:val="UmUNormal"/>
        <w:spacing w:after="120"/>
        <w:rPr>
          <w:rFonts w:eastAsia="Times-Roman" w:cs="Times-Roman"/>
          <w:b/>
          <w:sz w:val="22"/>
          <w:szCs w:val="22"/>
        </w:rPr>
      </w:pPr>
    </w:p>
    <w:p w14:paraId="597E7448" w14:textId="77777777" w:rsidR="000F5C4F" w:rsidRPr="002F0356" w:rsidRDefault="000F5C4F" w:rsidP="008B3318">
      <w:pPr>
        <w:pStyle w:val="UmUNormal"/>
        <w:spacing w:after="120"/>
        <w:rPr>
          <w:rFonts w:eastAsia="Times-Roman" w:cs="Times-Roman"/>
          <w:b/>
          <w:sz w:val="22"/>
          <w:szCs w:val="22"/>
        </w:rPr>
      </w:pPr>
      <w:r>
        <w:rPr>
          <w:b/>
          <w:sz w:val="22"/>
        </w:rPr>
        <w:t>Contents</w:t>
      </w:r>
    </w:p>
    <w:p w14:paraId="633FC705" w14:textId="77777777" w:rsidR="002F0356" w:rsidRDefault="002F0356" w:rsidP="00A72ED7">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This is where you describe the main course content. It must reflect the course objectives (intended learning outcomes). If the course is divided into modules, this must be stated here. To the extent that it is possible given the course’s educational approach and other preconditions, the course should be divided in credit-bearing modules of no more than 7.5 credits. This facilitates matters regarding credit transfer and for students to be granted student finance.</w:t>
      </w:r>
    </w:p>
    <w:p w14:paraId="20C2F4FE" w14:textId="77777777" w:rsidR="000F5C4F" w:rsidRPr="00EA0EF0" w:rsidRDefault="000F5C4F" w:rsidP="008B3318">
      <w:pPr>
        <w:pStyle w:val="UmUNormal"/>
        <w:spacing w:after="120"/>
        <w:rPr>
          <w:rFonts w:eastAsia="Times-Roman" w:cs="Times-Roman"/>
          <w:b/>
          <w:sz w:val="22"/>
          <w:szCs w:val="22"/>
        </w:rPr>
      </w:pPr>
    </w:p>
    <w:p w14:paraId="723D7682" w14:textId="77777777" w:rsidR="000F5C4F" w:rsidRDefault="00EA0EF0" w:rsidP="008B3318">
      <w:pPr>
        <w:pStyle w:val="UmUNormal"/>
        <w:spacing w:after="120"/>
        <w:rPr>
          <w:rFonts w:eastAsia="Times-Roman" w:cs="Times-Roman"/>
          <w:b/>
          <w:sz w:val="22"/>
          <w:szCs w:val="22"/>
        </w:rPr>
      </w:pPr>
      <w:r>
        <w:rPr>
          <w:b/>
          <w:sz w:val="22"/>
        </w:rPr>
        <w:t>Type of instruction</w:t>
      </w:r>
    </w:p>
    <w:p w14:paraId="3AF848F2" w14:textId="77777777" w:rsidR="00BB51CB" w:rsidRDefault="00EA0EF0" w:rsidP="00BB51CB">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Include a brief description of how teaching will be structured from a learning perspective. State the methods of instruction and the work that will be used. Examples include lectures, group work,</w:t>
      </w:r>
      <w:r w:rsidR="00A75441">
        <w:rPr>
          <w:rFonts w:ascii="Times New Roman" w:eastAsia="Times New Roman" w:hAnsi="Times New Roman" w:cs="Times New Roman"/>
          <w:color w:val="5B9BD5" w:themeColor="accent1"/>
          <w:sz w:val="22"/>
          <w:szCs w:val="22"/>
        </w:rPr>
        <w:t xml:space="preserve"> </w:t>
      </w:r>
      <w:r w:rsidR="009867BE">
        <w:rPr>
          <w:rFonts w:ascii="Times New Roman" w:hAnsi="Times New Roman"/>
          <w:color w:val="5B9BD5" w:themeColor="accent1"/>
          <w:sz w:val="22"/>
        </w:rPr>
        <w:lastRenderedPageBreak/>
        <w:t>seminars, supervision hours, laboratory sessions, field studies and placements. State any course-specific elements, such as outdoor teaching, evening</w:t>
      </w:r>
      <w:r w:rsidR="00A75441">
        <w:rPr>
          <w:rFonts w:ascii="Times New Roman" w:eastAsia="Times New Roman" w:hAnsi="Times New Roman" w:cs="Times New Roman"/>
          <w:color w:val="5B9BD5" w:themeColor="accent1"/>
          <w:sz w:val="22"/>
          <w:szCs w:val="22"/>
        </w:rPr>
        <w:t xml:space="preserve"> </w:t>
      </w:r>
      <w:r w:rsidR="00BB51CB">
        <w:rPr>
          <w:rFonts w:ascii="Times New Roman" w:hAnsi="Times New Roman"/>
          <w:color w:val="5B9BD5" w:themeColor="accent1"/>
          <w:sz w:val="22"/>
        </w:rPr>
        <w:t xml:space="preserve">or weekend classes, or if meetings included in distance courses will be online or in person. </w:t>
      </w:r>
    </w:p>
    <w:p w14:paraId="62133F28" w14:textId="77777777" w:rsidR="00BB51CB" w:rsidRDefault="009867BE" w:rsidP="00BB51CB">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Also state whether any special equipment is necessary to be able to follow teaching during the course. This is also where you must clearly state if there are any compulsory course components. Compulsory</w:t>
      </w:r>
      <w:r w:rsidR="00A75441">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 xml:space="preserve">course components must contribute to student assessment. </w:t>
      </w:r>
    </w:p>
    <w:p w14:paraId="176ADA2B" w14:textId="77777777" w:rsidR="00332346" w:rsidRPr="00BB51CB" w:rsidRDefault="00332346" w:rsidP="00BB51CB">
      <w:pPr>
        <w:widowControl/>
        <w:suppressAutoHyphens w:val="0"/>
        <w:spacing w:after="0"/>
        <w:rPr>
          <w:rFonts w:ascii="Times New Roman" w:eastAsia="Times New Roman" w:hAnsi="Times New Roman" w:cs="Times New Roman"/>
          <w:color w:val="5B9BD5" w:themeColor="accent1"/>
          <w:sz w:val="22"/>
          <w:szCs w:val="22"/>
          <w:lang w:eastAsia="sv-SE"/>
        </w:rPr>
      </w:pPr>
    </w:p>
    <w:p w14:paraId="79406807" w14:textId="77777777" w:rsidR="00EA0EF0" w:rsidRPr="00EA0EF0" w:rsidRDefault="00BB51CB" w:rsidP="00BB51CB">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Courses that include degree projects must state the period during which students will be</w:t>
      </w:r>
      <w:r w:rsidR="00A75441">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entitled to supervision hours. The Swedish Higher Education Authority recommends that students</w:t>
      </w:r>
      <w:r w:rsidR="00A75441">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who do not complete their degree project during the allocated time should receive supervision until the project is finished,</w:t>
      </w:r>
      <w:r w:rsidR="00A75441">
        <w:rPr>
          <w:rFonts w:ascii="Times New Roman" w:hAnsi="Times New Roman"/>
          <w:color w:val="5B9BD5" w:themeColor="accent1"/>
          <w:sz w:val="22"/>
        </w:rPr>
        <w:t xml:space="preserve"> </w:t>
      </w:r>
      <w:r>
        <w:rPr>
          <w:rFonts w:ascii="Times New Roman" w:hAnsi="Times New Roman"/>
          <w:color w:val="5B9BD5" w:themeColor="accent1"/>
          <w:sz w:val="22"/>
        </w:rPr>
        <w:t>within reason. If the department holding the course wishes to follow other procedures,</w:t>
      </w:r>
      <w:r w:rsidR="007375E7">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 xml:space="preserve">this must be stated in the course syllabus. </w:t>
      </w:r>
    </w:p>
    <w:p w14:paraId="36E3CE87" w14:textId="77777777" w:rsidR="00EA0EF0" w:rsidRDefault="00EA0EF0" w:rsidP="008B3318">
      <w:pPr>
        <w:pStyle w:val="UmUNormal"/>
        <w:spacing w:after="120"/>
      </w:pPr>
    </w:p>
    <w:p w14:paraId="5C76DFCB" w14:textId="77777777" w:rsidR="00EA0EF0" w:rsidRDefault="00EA0EF0" w:rsidP="008B3318">
      <w:pPr>
        <w:pStyle w:val="UmUNormal"/>
        <w:spacing w:after="120"/>
        <w:rPr>
          <w:rFonts w:eastAsia="Times-Roman" w:cs="Times-Roman"/>
          <w:b/>
          <w:sz w:val="22"/>
          <w:szCs w:val="22"/>
        </w:rPr>
      </w:pPr>
      <w:r>
        <w:rPr>
          <w:b/>
          <w:sz w:val="22"/>
        </w:rPr>
        <w:t>Examination</w:t>
      </w:r>
    </w:p>
    <w:p w14:paraId="577444EA" w14:textId="77777777" w:rsidR="00332346" w:rsidRPr="00332346" w:rsidRDefault="00BB51CB" w:rsidP="00332346">
      <w:pPr>
        <w:pStyle w:val="UmUNormal"/>
        <w:spacing w:after="120"/>
        <w:rPr>
          <w:rFonts w:eastAsia="Times-Roman" w:cs="Times-Roman"/>
          <w:b/>
          <w:sz w:val="22"/>
          <w:szCs w:val="22"/>
        </w:rPr>
      </w:pPr>
      <w:r>
        <w:rPr>
          <w:rFonts w:ascii="Times New Roman" w:hAnsi="Times New Roman"/>
          <w:color w:val="5B9BD5" w:themeColor="accent1"/>
          <w:sz w:val="22"/>
        </w:rPr>
        <w:t>This is where you state how the student’s performance will be assessed.</w:t>
      </w:r>
    </w:p>
    <w:p w14:paraId="22849A81" w14:textId="77777777" w:rsidR="00332346" w:rsidRDefault="00BB51CB" w:rsidP="00332346">
      <w:pPr>
        <w:pStyle w:val="UmUNormal"/>
        <w:spacing w:after="12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Examination formats must be clear in the course syllabus, for example:</w:t>
      </w:r>
    </w:p>
    <w:p w14:paraId="54280401" w14:textId="77777777" w:rsidR="00332346" w:rsidRPr="00BF17B3" w:rsidRDefault="00BB51CB" w:rsidP="00332346">
      <w:pPr>
        <w:pStyle w:val="UmUNormal"/>
        <w:numPr>
          <w:ilvl w:val="0"/>
          <w:numId w:val="11"/>
        </w:numPr>
        <w:spacing w:after="120"/>
        <w:rPr>
          <w:rFonts w:eastAsia="Times-Roman" w:cs="Times-Roman"/>
          <w:b/>
          <w:color w:val="5B9BD5" w:themeColor="accent1"/>
          <w:szCs w:val="20"/>
        </w:rPr>
      </w:pPr>
      <w:r>
        <w:rPr>
          <w:color w:val="5B9BD5" w:themeColor="accent1"/>
        </w:rPr>
        <w:t>whether examinations will be individual or in groups (as individual performance or in groups where individual assessments can be made);</w:t>
      </w:r>
    </w:p>
    <w:p w14:paraId="1E2E7C99" w14:textId="77777777" w:rsidR="00BB51CB" w:rsidRPr="00BF17B3" w:rsidRDefault="00BB51CB" w:rsidP="00BF17B3">
      <w:pPr>
        <w:pStyle w:val="UmUNormal"/>
        <w:numPr>
          <w:ilvl w:val="0"/>
          <w:numId w:val="11"/>
        </w:numPr>
        <w:spacing w:after="120"/>
        <w:rPr>
          <w:rFonts w:eastAsia="Times-Roman" w:cs="Times-Roman"/>
          <w:b/>
          <w:color w:val="5B9BD5" w:themeColor="accent1"/>
          <w:szCs w:val="20"/>
        </w:rPr>
      </w:pPr>
      <w:r>
        <w:rPr>
          <w:color w:val="5B9BD5" w:themeColor="accent1"/>
        </w:rPr>
        <w:t>if the examination will be oral, written, or practical such as written examinations in examination halls, take-home exams, seminars, reports, laboratory sessions, etc.</w:t>
      </w:r>
    </w:p>
    <w:p w14:paraId="786EB213" w14:textId="77777777" w:rsidR="00155E7B" w:rsidRDefault="00155E7B" w:rsidP="00BF17B3">
      <w:pPr>
        <w:pStyle w:val="UmUNormal"/>
        <w:spacing w:after="12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Vague wording such as “and/or”, “examination formats vary” or similar is not permitted, nor are lists of possible examination formats.</w:t>
      </w:r>
    </w:p>
    <w:p w14:paraId="49B28175" w14:textId="77777777" w:rsidR="00B61BF3" w:rsidRDefault="00B61BF3" w:rsidP="00BF17B3">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Voluntary forms of assessment, such as quizzes, which may give bonus credits in later examinations must also be included in the course syllabus.</w:t>
      </w:r>
    </w:p>
    <w:p w14:paraId="601D3766" w14:textId="77777777" w:rsidR="00353994" w:rsidRDefault="00353994" w:rsidP="00BF17B3">
      <w:pPr>
        <w:widowControl/>
        <w:suppressAutoHyphens w:val="0"/>
        <w:spacing w:after="0"/>
        <w:rPr>
          <w:rFonts w:ascii="Times New Roman" w:eastAsia="Times New Roman" w:hAnsi="Times New Roman" w:cs="Times New Roman"/>
          <w:color w:val="5B9BD5" w:themeColor="accent1"/>
          <w:sz w:val="22"/>
          <w:szCs w:val="22"/>
          <w:lang w:eastAsia="sv-SE"/>
        </w:rPr>
      </w:pPr>
    </w:p>
    <w:p w14:paraId="5BE33259" w14:textId="77777777" w:rsidR="00353994" w:rsidRPr="00E12A46" w:rsidRDefault="00353994" w:rsidP="00353994">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You must also describe how grades for modules will be weighted when the final course grade is</w:t>
      </w:r>
      <w:r w:rsidR="007375E7">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set. Here, you must also state whether alternative grading scales will be used in course modules.</w:t>
      </w:r>
    </w:p>
    <w:p w14:paraId="360F688F" w14:textId="77777777" w:rsidR="00353994" w:rsidRPr="00BF17B3" w:rsidRDefault="00353994" w:rsidP="00BF17B3">
      <w:pPr>
        <w:widowControl/>
        <w:suppressAutoHyphens w:val="0"/>
        <w:spacing w:after="0"/>
        <w:rPr>
          <w:rFonts w:eastAsia="Times-Roman" w:cs="Times-Roman"/>
          <w:b/>
          <w:color w:val="5B9BD5" w:themeColor="accent1"/>
          <w:szCs w:val="20"/>
        </w:rPr>
      </w:pPr>
    </w:p>
    <w:p w14:paraId="082B02D4" w14:textId="77777777" w:rsidR="0034550C" w:rsidRDefault="00155E7B">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Exercise restraint when limiting the number examination opportunities for students. Such limitations could be justified by the fact that unlimited examination attempts would be a waste of resources. If limits are set, a minimum of five examination opportunities m</w:t>
      </w:r>
      <w:r w:rsidR="007375E7">
        <w:rPr>
          <w:rFonts w:ascii="Times New Roman" w:hAnsi="Times New Roman"/>
          <w:color w:val="5B9BD5" w:themeColor="accent1"/>
          <w:sz w:val="22"/>
        </w:rPr>
        <w:t xml:space="preserve">ust be available. The number of </w:t>
      </w:r>
      <w:r>
        <w:rPr>
          <w:rFonts w:ascii="Times New Roman" w:hAnsi="Times New Roman"/>
          <w:color w:val="5B9BD5" w:themeColor="accent1"/>
          <w:sz w:val="22"/>
        </w:rPr>
        <w:t xml:space="preserve">placements or corresponding training must be at least two. </w:t>
      </w:r>
    </w:p>
    <w:p w14:paraId="7518406D" w14:textId="77777777" w:rsidR="00B64738" w:rsidRDefault="00B64738">
      <w:pPr>
        <w:widowControl/>
        <w:suppressAutoHyphens w:val="0"/>
        <w:spacing w:after="0"/>
        <w:rPr>
          <w:rFonts w:cs="Georgia"/>
          <w:color w:val="000000"/>
          <w:sz w:val="20"/>
          <w:szCs w:val="20"/>
        </w:rPr>
      </w:pPr>
    </w:p>
    <w:p w14:paraId="3E6C8564" w14:textId="77777777" w:rsidR="00B61BF3" w:rsidRPr="007375E7" w:rsidRDefault="00B61BF3" w:rsidP="00B61BF3">
      <w:pPr>
        <w:widowControl/>
        <w:suppressAutoHyphens w:val="0"/>
        <w:spacing w:after="0"/>
        <w:rPr>
          <w:rFonts w:ascii="Times New Roman" w:eastAsia="Times New Roman" w:hAnsi="Times New Roman" w:cs="Times New Roman"/>
          <w:color w:val="5B9BD5" w:themeColor="accent1"/>
          <w:sz w:val="22"/>
          <w:szCs w:val="22"/>
        </w:rPr>
      </w:pPr>
      <w:r w:rsidRPr="007375E7">
        <w:rPr>
          <w:rFonts w:ascii="Times New Roman" w:hAnsi="Times New Roman"/>
          <w:color w:val="5B9BD5" w:themeColor="accent1"/>
          <w:sz w:val="22"/>
          <w:szCs w:val="22"/>
        </w:rPr>
        <w:t>If a course syllabus will be withdrawn or undergo major changes, the guidelines for resits must be stated in the transitional provisions in the course syllabus.</w:t>
      </w:r>
    </w:p>
    <w:p w14:paraId="64462777" w14:textId="77777777" w:rsidR="00B96EC4" w:rsidRDefault="00B96EC4" w:rsidP="00BB51CB">
      <w:pPr>
        <w:widowControl/>
        <w:suppressAutoHyphens w:val="0"/>
        <w:spacing w:after="0"/>
        <w:rPr>
          <w:rFonts w:ascii="Times New Roman" w:eastAsia="Times New Roman" w:hAnsi="Times New Roman" w:cs="Times New Roman"/>
          <w:color w:val="5B9BD5" w:themeColor="accent1"/>
          <w:sz w:val="22"/>
          <w:szCs w:val="22"/>
          <w:lang w:eastAsia="sv-SE"/>
        </w:rPr>
      </w:pPr>
    </w:p>
    <w:p w14:paraId="7264EDC6" w14:textId="77777777" w:rsidR="00B96EC4" w:rsidRDefault="00BB51CB" w:rsidP="00BB51CB">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The Swedish Discrimination Act (2008:567) contains provisions stipulating that higher education institutions must offer</w:t>
      </w:r>
      <w:r w:rsidR="007375E7">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adapted examinations or alternative examination formats for students with</w:t>
      </w:r>
      <w:r w:rsidR="007375E7">
        <w:rPr>
          <w:rFonts w:ascii="Times New Roman" w:eastAsia="Times New Roman" w:hAnsi="Times New Roman" w:cs="Times New Roman"/>
          <w:color w:val="5B9BD5" w:themeColor="accent1"/>
          <w:sz w:val="22"/>
          <w:szCs w:val="22"/>
        </w:rPr>
        <w:t xml:space="preserve"> </w:t>
      </w:r>
      <w:r>
        <w:rPr>
          <w:rFonts w:ascii="Times New Roman" w:hAnsi="Times New Roman"/>
          <w:color w:val="5B9BD5" w:themeColor="accent1"/>
          <w:sz w:val="22"/>
        </w:rPr>
        <w:t xml:space="preserve">disabilities. The </w:t>
      </w:r>
      <w:r>
        <w:rPr>
          <w:rFonts w:ascii="Times New Roman" w:hAnsi="Times New Roman"/>
          <w:b/>
          <w:color w:val="5B9BD5" w:themeColor="accent1"/>
          <w:sz w:val="22"/>
        </w:rPr>
        <w:t xml:space="preserve">following wording must be included in the course syllabus </w:t>
      </w:r>
      <w:r>
        <w:rPr>
          <w:rFonts w:ascii="Times New Roman" w:hAnsi="Times New Roman"/>
          <w:color w:val="5B9BD5" w:themeColor="accent1"/>
          <w:sz w:val="22"/>
        </w:rPr>
        <w:t>for clarification:</w:t>
      </w:r>
    </w:p>
    <w:p w14:paraId="2502B433" w14:textId="77777777" w:rsidR="00B96EC4" w:rsidRPr="00B96EC4" w:rsidRDefault="00B96EC4" w:rsidP="00BB51CB">
      <w:pPr>
        <w:widowControl/>
        <w:suppressAutoHyphens w:val="0"/>
        <w:spacing w:after="0"/>
        <w:rPr>
          <w:rFonts w:ascii="Times New Roman" w:eastAsia="Times New Roman" w:hAnsi="Times New Roman" w:cs="Times New Roman"/>
          <w:color w:val="5B9BD5" w:themeColor="accent1"/>
          <w:sz w:val="22"/>
          <w:szCs w:val="22"/>
          <w:lang w:eastAsia="sv-SE"/>
        </w:rPr>
      </w:pPr>
    </w:p>
    <w:p w14:paraId="73C7D853" w14:textId="77777777" w:rsidR="00B96EC4" w:rsidRPr="00BB4185" w:rsidRDefault="00B96EC4" w:rsidP="007375E7">
      <w:pPr>
        <w:widowControl/>
        <w:suppressAutoHyphens w:val="0"/>
        <w:spacing w:after="0"/>
        <w:ind w:left="360"/>
        <w:rPr>
          <w:i/>
          <w:iCs/>
          <w:color w:val="5B9BD5" w:themeColor="accent1"/>
          <w:sz w:val="20"/>
          <w:szCs w:val="20"/>
        </w:rPr>
      </w:pPr>
      <w:r>
        <w:rPr>
          <w:i/>
          <w:color w:val="5B9BD5" w:themeColor="accent1"/>
          <w:sz w:val="20"/>
        </w:rPr>
        <w:t>Examiners may decide to deviate from the modes of assessment in the course syllabus. Individual adaptation</w:t>
      </w:r>
      <w:r w:rsidR="007375E7">
        <w:rPr>
          <w:i/>
          <w:iCs/>
          <w:color w:val="5B9BD5" w:themeColor="accent1"/>
          <w:sz w:val="20"/>
          <w:szCs w:val="20"/>
        </w:rPr>
        <w:t xml:space="preserve"> </w:t>
      </w:r>
      <w:r>
        <w:rPr>
          <w:i/>
          <w:color w:val="5B9BD5" w:themeColor="accent1"/>
          <w:sz w:val="20"/>
        </w:rPr>
        <w:t>of modes of assessment must give due consideration to the student’s needs. The adaptation of modes of assessment</w:t>
      </w:r>
      <w:r w:rsidR="007375E7">
        <w:rPr>
          <w:i/>
          <w:iCs/>
          <w:color w:val="5B9BD5" w:themeColor="accent1"/>
          <w:sz w:val="20"/>
          <w:szCs w:val="20"/>
        </w:rPr>
        <w:t xml:space="preserve"> </w:t>
      </w:r>
      <w:r>
        <w:rPr>
          <w:i/>
          <w:color w:val="5B9BD5" w:themeColor="accent1"/>
          <w:sz w:val="20"/>
        </w:rPr>
        <w:t>must remain within the framework of the intended learning outcomes in the course syllabus. Students who require an adapted examination –</w:t>
      </w:r>
      <w:r w:rsidR="007375E7">
        <w:rPr>
          <w:i/>
          <w:iCs/>
          <w:color w:val="5B9BD5" w:themeColor="accent1"/>
          <w:sz w:val="20"/>
          <w:szCs w:val="20"/>
        </w:rPr>
        <w:t xml:space="preserve"> </w:t>
      </w:r>
      <w:r>
        <w:rPr>
          <w:i/>
          <w:color w:val="5B9BD5" w:themeColor="accent1"/>
          <w:sz w:val="20"/>
        </w:rPr>
        <w:t>and have received a decision on the right to support from the coordinator at the Student Services Office for students with</w:t>
      </w:r>
      <w:r w:rsidR="007375E7">
        <w:rPr>
          <w:i/>
          <w:iCs/>
          <w:color w:val="5B9BD5" w:themeColor="accent1"/>
          <w:sz w:val="20"/>
          <w:szCs w:val="20"/>
        </w:rPr>
        <w:t xml:space="preserve"> </w:t>
      </w:r>
      <w:r w:rsidR="00BB4185">
        <w:rPr>
          <w:i/>
          <w:color w:val="5B9BD5" w:themeColor="accent1"/>
          <w:sz w:val="20"/>
        </w:rPr>
        <w:t xml:space="preserve">disabilities – must submit a request to the department holding the course no later </w:t>
      </w:r>
      <w:r w:rsidR="00BB4185">
        <w:rPr>
          <w:i/>
          <w:color w:val="5B9BD5" w:themeColor="accent1"/>
          <w:sz w:val="20"/>
        </w:rPr>
        <w:lastRenderedPageBreak/>
        <w:t>than 10 days before the examination. The examiner decides on the adaptation of the examination, after which the student will be notified.</w:t>
      </w:r>
    </w:p>
    <w:p w14:paraId="54C2D326" w14:textId="77777777" w:rsidR="000A5EF1" w:rsidRPr="00F92661" w:rsidRDefault="000A5EF1" w:rsidP="000A5EF1">
      <w:pPr>
        <w:widowControl/>
        <w:suppressAutoHyphens w:val="0"/>
        <w:spacing w:after="0"/>
        <w:ind w:left="360"/>
        <w:rPr>
          <w:rFonts w:ascii="Times New Roman" w:eastAsia="Times New Roman" w:hAnsi="Times New Roman" w:cs="Times New Roman"/>
          <w:color w:val="5B9BD5" w:themeColor="accent1"/>
          <w:sz w:val="22"/>
          <w:szCs w:val="22"/>
          <w:lang w:eastAsia="sv-SE"/>
        </w:rPr>
      </w:pPr>
    </w:p>
    <w:p w14:paraId="512B4154" w14:textId="77777777" w:rsidR="00BF673E" w:rsidRPr="007375E7" w:rsidRDefault="007F741E" w:rsidP="00B96EC4">
      <w:pPr>
        <w:widowControl/>
        <w:suppressAutoHyphens w:val="0"/>
        <w:spacing w:after="0"/>
        <w:rPr>
          <w:rFonts w:ascii="Times New Roman" w:eastAsia="Times New Roman" w:hAnsi="Times New Roman" w:cs="Times New Roman"/>
          <w:b/>
          <w:color w:val="5B9BD5" w:themeColor="accent1"/>
          <w:sz w:val="22"/>
          <w:szCs w:val="22"/>
        </w:rPr>
      </w:pPr>
      <w:r w:rsidRPr="007375E7">
        <w:rPr>
          <w:rFonts w:ascii="Times New Roman" w:hAnsi="Times New Roman"/>
          <w:b/>
          <w:color w:val="5B9BD5" w:themeColor="accent1"/>
          <w:sz w:val="22"/>
        </w:rPr>
        <w:t>For courses involving a placement, the following wording must be included verbatim:</w:t>
      </w:r>
    </w:p>
    <w:p w14:paraId="03761C45" w14:textId="77777777" w:rsidR="008D029A" w:rsidRPr="00F92661" w:rsidRDefault="008D029A" w:rsidP="00B96EC4">
      <w:pPr>
        <w:widowControl/>
        <w:suppressAutoHyphens w:val="0"/>
        <w:spacing w:after="0"/>
        <w:rPr>
          <w:rFonts w:ascii="Times New Roman" w:eastAsia="Times New Roman" w:hAnsi="Times New Roman" w:cs="Times New Roman"/>
          <w:color w:val="5B9BD5" w:themeColor="accent1"/>
          <w:sz w:val="22"/>
          <w:szCs w:val="22"/>
          <w:lang w:eastAsia="sv-SE"/>
        </w:rPr>
      </w:pPr>
    </w:p>
    <w:p w14:paraId="652733FE" w14:textId="77777777" w:rsidR="00BF673E" w:rsidRDefault="007F741E" w:rsidP="00BB51CB">
      <w:pPr>
        <w:widowControl/>
        <w:suppressAutoHyphens w:val="0"/>
        <w:spacing w:after="0"/>
        <w:ind w:left="360"/>
        <w:rPr>
          <w:i/>
          <w:iCs/>
          <w:color w:val="5B9BD5" w:themeColor="accent1"/>
          <w:sz w:val="20"/>
          <w:szCs w:val="20"/>
        </w:rPr>
      </w:pPr>
      <w:r>
        <w:rPr>
          <w:i/>
          <w:color w:val="5B9BD5" w:themeColor="accent1"/>
          <w:sz w:val="20"/>
        </w:rPr>
        <w:t>In consultation with the supervisor, the responsible examiner may decide to fail a student during an ongoing placement if the student demonstrates short</w:t>
      </w:r>
      <w:r w:rsidR="007375E7">
        <w:rPr>
          <w:i/>
          <w:color w:val="5B9BD5" w:themeColor="accent1"/>
          <w:sz w:val="20"/>
        </w:rPr>
        <w:t xml:space="preserve">comings in knowledge, skills or </w:t>
      </w:r>
      <w:r>
        <w:rPr>
          <w:i/>
          <w:color w:val="5B9BD5" w:themeColor="accent1"/>
          <w:sz w:val="20"/>
        </w:rPr>
        <w:t>approach that, either individually or in combination, present a significant risk that the student will cause physical or psychological harm to another p</w:t>
      </w:r>
      <w:r w:rsidR="007375E7">
        <w:rPr>
          <w:i/>
          <w:color w:val="5B9BD5" w:themeColor="accent1"/>
          <w:sz w:val="20"/>
        </w:rPr>
        <w:t xml:space="preserve">erson during the placement. The </w:t>
      </w:r>
      <w:r>
        <w:rPr>
          <w:i/>
          <w:color w:val="5B9BD5" w:themeColor="accent1"/>
          <w:sz w:val="20"/>
        </w:rPr>
        <w:t xml:space="preserve">placement will then be prematurely terminated, and the student given a failing grade for the course in question. In such cases, the student is deemed to have used up one placement opportunity. </w:t>
      </w:r>
    </w:p>
    <w:p w14:paraId="2C028891" w14:textId="77777777" w:rsidR="00BF673E" w:rsidRDefault="00BF673E" w:rsidP="007F741E">
      <w:pPr>
        <w:widowControl/>
        <w:suppressAutoHyphens w:val="0"/>
        <w:spacing w:after="0"/>
        <w:ind w:left="360"/>
        <w:rPr>
          <w:i/>
          <w:iCs/>
          <w:color w:val="5B9BD5" w:themeColor="accent1"/>
          <w:sz w:val="20"/>
          <w:szCs w:val="20"/>
        </w:rPr>
      </w:pPr>
    </w:p>
    <w:p w14:paraId="783DEEBA" w14:textId="77777777" w:rsidR="007F741E" w:rsidRDefault="007F741E" w:rsidP="007F741E">
      <w:pPr>
        <w:widowControl/>
        <w:suppressAutoHyphens w:val="0"/>
        <w:spacing w:after="0"/>
        <w:ind w:left="360"/>
        <w:rPr>
          <w:i/>
          <w:iCs/>
          <w:color w:val="5B9BD5" w:themeColor="accent1"/>
          <w:sz w:val="20"/>
          <w:szCs w:val="20"/>
        </w:rPr>
      </w:pPr>
      <w:r>
        <w:rPr>
          <w:i/>
          <w:color w:val="5B9BD5" w:themeColor="accent1"/>
          <w:sz w:val="20"/>
        </w:rPr>
        <w:t>In conjunction with such a decision, an individual development plan is to be drawn up by the examiner in consultation with the student. This development plan is to state the knowledge, skills and approaches that the student needs to acquire before they can begin a new placement, as well as a date on which this will be checked. The student is entitled to two such checks each year, but, unless special grounds exist, to no more than four checks in total.</w:t>
      </w:r>
      <w:r w:rsidR="007375E7">
        <w:rPr>
          <w:i/>
          <w:color w:val="5B9BD5" w:themeColor="accent1"/>
          <w:sz w:val="20"/>
        </w:rPr>
        <w:t xml:space="preserve"> </w:t>
      </w:r>
      <w:r>
        <w:rPr>
          <w:i/>
          <w:color w:val="5B9BD5" w:themeColor="accent1"/>
          <w:sz w:val="20"/>
        </w:rPr>
        <w:t>If such a check reveals that the student has acquired the knowledge, skills and approaches specified in the individual development plan, the student has the right to a new placement, as long as the student has not exhausted their total number of placement opportunities. If the course syllabus limits the number of placement opportunities and the student has exhausted these, then the student is not entitled to a new assessment opportunity.</w:t>
      </w:r>
    </w:p>
    <w:p w14:paraId="7AFC3D6B" w14:textId="77777777" w:rsidR="00B3105D" w:rsidRDefault="00B3105D" w:rsidP="007F741E">
      <w:pPr>
        <w:widowControl/>
        <w:suppressAutoHyphens w:val="0"/>
        <w:spacing w:after="0"/>
        <w:ind w:left="360"/>
        <w:rPr>
          <w:i/>
          <w:iCs/>
          <w:color w:val="5B9BD5" w:themeColor="accent1"/>
          <w:sz w:val="20"/>
          <w:szCs w:val="20"/>
        </w:rPr>
      </w:pPr>
    </w:p>
    <w:p w14:paraId="39CD28C8" w14:textId="77777777" w:rsidR="00B3105D" w:rsidRPr="00B3105D" w:rsidRDefault="00B3105D" w:rsidP="00B3105D">
      <w:pPr>
        <w:widowControl/>
        <w:suppressAutoHyphens w:val="0"/>
        <w:spacing w:after="0"/>
        <w:ind w:left="360"/>
        <w:rPr>
          <w:i/>
          <w:iCs/>
          <w:color w:val="5B9BD5" w:themeColor="accent1"/>
          <w:sz w:val="20"/>
          <w:szCs w:val="20"/>
        </w:rPr>
      </w:pPr>
      <w:r>
        <w:rPr>
          <w:i/>
          <w:color w:val="5B9BD5" w:themeColor="accent1"/>
          <w:sz w:val="20"/>
        </w:rPr>
        <w:t>A student on placement must adhere to the requirements for a professional approach, including the dress code and hygiene procedures as directed at the hosting organisation.</w:t>
      </w:r>
    </w:p>
    <w:p w14:paraId="0EA264B0" w14:textId="77777777" w:rsidR="00B3105D" w:rsidRDefault="00B3105D" w:rsidP="007F741E">
      <w:pPr>
        <w:widowControl/>
        <w:suppressAutoHyphens w:val="0"/>
        <w:spacing w:after="0"/>
        <w:ind w:left="360"/>
        <w:rPr>
          <w:i/>
          <w:iCs/>
          <w:sz w:val="20"/>
          <w:szCs w:val="20"/>
        </w:rPr>
      </w:pPr>
    </w:p>
    <w:p w14:paraId="06FD7A39" w14:textId="77777777" w:rsidR="007F741E" w:rsidRDefault="007F741E" w:rsidP="007F741E">
      <w:pPr>
        <w:widowControl/>
        <w:suppressAutoHyphens w:val="0"/>
        <w:spacing w:after="0"/>
        <w:ind w:left="360"/>
        <w:rPr>
          <w:i/>
          <w:iCs/>
          <w:sz w:val="20"/>
          <w:szCs w:val="20"/>
        </w:rPr>
      </w:pPr>
    </w:p>
    <w:p w14:paraId="45469EB8" w14:textId="77777777" w:rsidR="007F741E" w:rsidRPr="007F741E" w:rsidRDefault="007F741E" w:rsidP="007F741E">
      <w:pPr>
        <w:widowControl/>
        <w:suppressAutoHyphens w:val="0"/>
        <w:spacing w:after="0"/>
        <w:ind w:left="360"/>
        <w:rPr>
          <w:i/>
          <w:iCs/>
          <w:sz w:val="20"/>
          <w:szCs w:val="20"/>
        </w:rPr>
      </w:pPr>
    </w:p>
    <w:p w14:paraId="4143D3A8" w14:textId="77777777" w:rsidR="00EA0EF0" w:rsidRDefault="00EA0EF0" w:rsidP="00EA0EF0">
      <w:pPr>
        <w:pStyle w:val="UmUNormal"/>
        <w:spacing w:after="120"/>
        <w:rPr>
          <w:rFonts w:eastAsia="Times-Roman" w:cs="Times-Roman"/>
          <w:b/>
          <w:sz w:val="22"/>
          <w:szCs w:val="22"/>
        </w:rPr>
      </w:pPr>
      <w:r>
        <w:rPr>
          <w:b/>
          <w:sz w:val="22"/>
        </w:rPr>
        <w:t>Other provisions</w:t>
      </w:r>
    </w:p>
    <w:p w14:paraId="621BB390" w14:textId="77777777" w:rsidR="00EA0EF0" w:rsidRPr="00EA0EF0" w:rsidRDefault="00EA0EF0" w:rsidP="00EA0EF0">
      <w:pPr>
        <w:widowControl/>
        <w:suppressAutoHyphens w:val="0"/>
        <w:spacing w:after="0"/>
        <w:rPr>
          <w:rFonts w:ascii="Times New Roman" w:eastAsia="Times New Roman" w:hAnsi="Times New Roman" w:cs="Times New Roman"/>
          <w:color w:val="5B9BD5" w:themeColor="accent1"/>
          <w:sz w:val="22"/>
          <w:szCs w:val="22"/>
        </w:rPr>
      </w:pPr>
      <w:r>
        <w:rPr>
          <w:rFonts w:ascii="Times New Roman" w:hAnsi="Times New Roman"/>
          <w:color w:val="5B9BD5" w:themeColor="accent1"/>
          <w:sz w:val="22"/>
        </w:rPr>
        <w:t>This is where you provide information about any other necessary provisions, for example if the course overlaps (either partly or fully) with another course and cannot therefore be (fully) credited in the degree together with the overlapping course.</w:t>
      </w:r>
    </w:p>
    <w:p w14:paraId="5BC48BDA" w14:textId="77777777" w:rsidR="0076335A" w:rsidRDefault="0076335A" w:rsidP="0076335A">
      <w:pPr>
        <w:pStyle w:val="UmUNormal"/>
        <w:spacing w:after="120"/>
        <w:rPr>
          <w:rFonts w:eastAsia="Times-Roman" w:cs="Times-Roman"/>
          <w:b/>
          <w:i/>
          <w:sz w:val="22"/>
          <w:szCs w:val="22"/>
        </w:rPr>
      </w:pPr>
    </w:p>
    <w:p w14:paraId="1E3623A8" w14:textId="77777777" w:rsidR="0076335A" w:rsidRPr="008D029A" w:rsidRDefault="0076335A" w:rsidP="0076335A">
      <w:pPr>
        <w:pStyle w:val="UmUNormal"/>
        <w:spacing w:after="120"/>
        <w:rPr>
          <w:rFonts w:eastAsia="Times-Roman" w:cs="Times-Roman"/>
          <w:b/>
          <w:color w:val="5B9BD5" w:themeColor="accent1"/>
          <w:szCs w:val="20"/>
        </w:rPr>
      </w:pPr>
      <w:r>
        <w:rPr>
          <w:b/>
          <w:color w:val="5B9BD5" w:themeColor="accent1"/>
        </w:rPr>
        <w:t>The following formulation must be included in courses with healthcare placements:</w:t>
      </w:r>
    </w:p>
    <w:p w14:paraId="1E02A85E" w14:textId="77777777" w:rsidR="0076335A" w:rsidRPr="000371A6" w:rsidRDefault="0076335A" w:rsidP="0076335A">
      <w:pPr>
        <w:pStyle w:val="UmUNormal"/>
        <w:spacing w:after="120"/>
        <w:rPr>
          <w:rFonts w:eastAsia="Times-Roman" w:cs="Times-Roman"/>
          <w:b/>
          <w:i/>
          <w:color w:val="5B9BD5" w:themeColor="accent1"/>
          <w:szCs w:val="20"/>
        </w:rPr>
      </w:pPr>
      <w:r>
        <w:rPr>
          <w:b/>
          <w:i/>
          <w:color w:val="5B9BD5" w:themeColor="accent1"/>
        </w:rPr>
        <w:t>Health and vaccination programme</w:t>
      </w:r>
    </w:p>
    <w:p w14:paraId="6701EACC" w14:textId="77777777" w:rsidR="00EA0EF0" w:rsidRPr="000371A6" w:rsidRDefault="0076335A" w:rsidP="0076335A">
      <w:pPr>
        <w:pStyle w:val="UmUNormal"/>
        <w:spacing w:after="120"/>
        <w:rPr>
          <w:rFonts w:eastAsia="Times-Roman" w:cs="Times-Roman"/>
          <w:i/>
          <w:color w:val="5B9BD5" w:themeColor="accent1"/>
          <w:szCs w:val="20"/>
        </w:rPr>
      </w:pPr>
      <w:r>
        <w:rPr>
          <w:i/>
          <w:color w:val="5B9BD5" w:themeColor="accent1"/>
        </w:rPr>
        <w:t xml:space="preserve">Before beginning their placement, students at the Faculty of Medicine at Umeå University are to be offered vaccination against Hepatitis B. In addition, students who have not received vaccinations against COVID-19 or measles, mumps and rubella (MMR) </w:t>
      </w:r>
      <w:r w:rsidR="007375E7">
        <w:rPr>
          <w:i/>
          <w:color w:val="5B9BD5" w:themeColor="accent1"/>
        </w:rPr>
        <w:t xml:space="preserve">are to be invited to take these </w:t>
      </w:r>
      <w:r>
        <w:rPr>
          <w:i/>
          <w:color w:val="5B9BD5" w:themeColor="accent1"/>
        </w:rPr>
        <w:t>vaccinations. The Faculty of Medicine will only cover the costs that arise as part of the health and vaccination programme if they were incurred as part of the sessions organised by the programme.</w:t>
      </w:r>
    </w:p>
    <w:p w14:paraId="4F998D58" w14:textId="77777777" w:rsidR="0076335A" w:rsidRPr="000371A6" w:rsidRDefault="0076335A" w:rsidP="00EA0EF0">
      <w:pPr>
        <w:pStyle w:val="UmUNormal"/>
        <w:spacing w:after="120"/>
        <w:rPr>
          <w:rFonts w:eastAsia="Times-Roman" w:cs="Times-Roman"/>
          <w:b/>
          <w:color w:val="5B9BD5" w:themeColor="accent1"/>
          <w:sz w:val="22"/>
          <w:szCs w:val="22"/>
        </w:rPr>
      </w:pPr>
    </w:p>
    <w:p w14:paraId="50D03EC3" w14:textId="77777777" w:rsidR="0076335A" w:rsidRPr="00B80391" w:rsidRDefault="0076335A" w:rsidP="0076335A">
      <w:pPr>
        <w:pStyle w:val="UmUNormal"/>
        <w:spacing w:after="120"/>
        <w:rPr>
          <w:rFonts w:eastAsia="Times-Roman" w:cs="Times-Roman"/>
          <w:b/>
          <w:i/>
          <w:color w:val="5B9BD5" w:themeColor="accent1"/>
          <w:szCs w:val="20"/>
        </w:rPr>
      </w:pPr>
      <w:r w:rsidRPr="00B80391">
        <w:rPr>
          <w:b/>
          <w:color w:val="5B9BD5" w:themeColor="accent1"/>
        </w:rPr>
        <w:t>Access to placements</w:t>
      </w:r>
    </w:p>
    <w:p w14:paraId="600497DA" w14:textId="510E66C3" w:rsidR="0076335A" w:rsidRPr="000371A6" w:rsidRDefault="0076335A" w:rsidP="0076335A">
      <w:pPr>
        <w:pStyle w:val="UmUNormal"/>
        <w:spacing w:after="120"/>
        <w:rPr>
          <w:rFonts w:eastAsia="Times-Roman" w:cs="Times-Roman"/>
          <w:i/>
          <w:color w:val="5B9BD5" w:themeColor="accent1"/>
          <w:szCs w:val="20"/>
        </w:rPr>
      </w:pPr>
      <w:r w:rsidRPr="00B80391">
        <w:rPr>
          <w:i/>
          <w:color w:val="5B9BD5" w:themeColor="accent1"/>
        </w:rPr>
        <w:t>Generally, placements (including clinical placements) are conducted</w:t>
      </w:r>
      <w:r w:rsidR="0092316E" w:rsidRPr="00B80391">
        <w:rPr>
          <w:i/>
          <w:color w:val="5B9BD5" w:themeColor="accent1"/>
        </w:rPr>
        <w:t xml:space="preserve"> with</w:t>
      </w:r>
      <w:r w:rsidR="000846AC" w:rsidRPr="00B80391">
        <w:rPr>
          <w:i/>
          <w:color w:val="5B9BD5" w:themeColor="accent1"/>
        </w:rPr>
        <w:t>in the respective programme’s agreement</w:t>
      </w:r>
      <w:r w:rsidR="0092316E" w:rsidRPr="00B80391">
        <w:rPr>
          <w:i/>
          <w:color w:val="5B9BD5" w:themeColor="accent1"/>
        </w:rPr>
        <w:t xml:space="preserve"> </w:t>
      </w:r>
      <w:r w:rsidRPr="00B80391">
        <w:rPr>
          <w:i/>
          <w:color w:val="5B9BD5" w:themeColor="accent1"/>
        </w:rPr>
        <w:t>in collaboration with Region</w:t>
      </w:r>
      <w:r w:rsidR="00C8285E" w:rsidRPr="00B80391">
        <w:rPr>
          <w:i/>
          <w:color w:val="5B9BD5" w:themeColor="accent1"/>
        </w:rPr>
        <w:t>s</w:t>
      </w:r>
      <w:r w:rsidRPr="00B80391">
        <w:rPr>
          <w:i/>
          <w:color w:val="5B9BD5" w:themeColor="accent1"/>
        </w:rPr>
        <w:t>, the primary municipalities and</w:t>
      </w:r>
      <w:r w:rsidR="0053213C" w:rsidRPr="00B80391">
        <w:rPr>
          <w:i/>
          <w:color w:val="5B9BD5" w:themeColor="accent1"/>
        </w:rPr>
        <w:t xml:space="preserve"> a </w:t>
      </w:r>
      <w:r w:rsidR="00864DEF" w:rsidRPr="00B80391">
        <w:rPr>
          <w:i/>
          <w:color w:val="5B9BD5" w:themeColor="accent1"/>
        </w:rPr>
        <w:t>few private</w:t>
      </w:r>
      <w:r w:rsidRPr="00B80391">
        <w:rPr>
          <w:i/>
          <w:color w:val="5B9BD5" w:themeColor="accent1"/>
        </w:rPr>
        <w:t xml:space="preserve"> providers. If the student does not fulfil the hosting organisation's requirements, </w:t>
      </w:r>
      <w:r w:rsidR="0053213C" w:rsidRPr="00B80391">
        <w:rPr>
          <w:i/>
          <w:color w:val="5B9BD5" w:themeColor="accent1"/>
        </w:rPr>
        <w:t xml:space="preserve">within for example work-environment and patient security aspects, </w:t>
      </w:r>
      <w:r w:rsidRPr="00B80391">
        <w:rPr>
          <w:i/>
          <w:color w:val="5B9BD5" w:themeColor="accent1"/>
        </w:rPr>
        <w:t xml:space="preserve">they cannot be guaranteed access to a placement. </w:t>
      </w:r>
      <w:r w:rsidR="00273C4C" w:rsidRPr="00B80391">
        <w:rPr>
          <w:i/>
          <w:color w:val="5B9BD5" w:themeColor="accent1"/>
        </w:rPr>
        <w:t xml:space="preserve">In that </w:t>
      </w:r>
      <w:r w:rsidRPr="00B80391">
        <w:rPr>
          <w:i/>
          <w:color w:val="5B9BD5" w:themeColor="accent1"/>
        </w:rPr>
        <w:t>case, the University will explore the possibility of offering the student an alternative placement within the framework of the University’s agreements.</w:t>
      </w:r>
    </w:p>
    <w:sectPr w:rsidR="0076335A" w:rsidRPr="000371A6" w:rsidSect="00101D19">
      <w:headerReference w:type="even" r:id="rId8"/>
      <w:headerReference w:type="default" r:id="rId9"/>
      <w:footerReference w:type="even" r:id="rId10"/>
      <w:footerReference w:type="default" r:id="rId11"/>
      <w:headerReference w:type="first" r:id="rId12"/>
      <w:footerReference w:type="first" r:id="rId13"/>
      <w:pgSz w:w="11900" w:h="16837"/>
      <w:pgMar w:top="220" w:right="1417" w:bottom="1134" w:left="1417" w:header="737" w:footer="1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6F58" w14:textId="77777777" w:rsidR="007B76BC" w:rsidRDefault="007B76BC" w:rsidP="003334BE">
      <w:pPr>
        <w:spacing w:after="0"/>
      </w:pPr>
      <w:r>
        <w:separator/>
      </w:r>
    </w:p>
  </w:endnote>
  <w:endnote w:type="continuationSeparator" w:id="0">
    <w:p w14:paraId="48E26F79" w14:textId="77777777" w:rsidR="007B76BC" w:rsidRDefault="007B76BC" w:rsidP="00333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03000000"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EB16" w14:textId="77777777" w:rsidR="00C62036" w:rsidRDefault="00C6203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9617" w14:textId="77777777" w:rsidR="00C62036" w:rsidRDefault="00C6203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4E15" w14:textId="77777777" w:rsidR="00C62036" w:rsidRDefault="00C620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12034" w14:textId="77777777" w:rsidR="007B76BC" w:rsidRDefault="007B76BC" w:rsidP="003334BE">
      <w:pPr>
        <w:spacing w:after="0"/>
      </w:pPr>
      <w:r>
        <w:separator/>
      </w:r>
    </w:p>
  </w:footnote>
  <w:footnote w:type="continuationSeparator" w:id="0">
    <w:p w14:paraId="2CA23496" w14:textId="77777777" w:rsidR="007B76BC" w:rsidRDefault="007B76BC" w:rsidP="003334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B6E" w14:textId="77777777" w:rsidR="00C62036" w:rsidRDefault="00C620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3"/>
      <w:gridCol w:w="3226"/>
      <w:gridCol w:w="3570"/>
    </w:tblGrid>
    <w:tr w:rsidR="008A2A0C" w:rsidRPr="00A75441" w14:paraId="7878432A" w14:textId="77777777" w:rsidTr="00A75441">
      <w:trPr>
        <w:trHeight w:val="426"/>
      </w:trPr>
      <w:tc>
        <w:tcPr>
          <w:tcW w:w="3913" w:type="dxa"/>
        </w:tcPr>
        <w:p w14:paraId="088E60E2" w14:textId="77777777" w:rsidR="008A2A0C" w:rsidRPr="00A75441" w:rsidRDefault="008A2A0C" w:rsidP="008A2A0C">
          <w:pPr>
            <w:widowControl/>
            <w:tabs>
              <w:tab w:val="center" w:pos="4680"/>
              <w:tab w:val="right" w:pos="9360"/>
            </w:tabs>
            <w:suppressAutoHyphens w:val="0"/>
            <w:spacing w:after="0" w:line="180" w:lineRule="atLeast"/>
            <w:rPr>
              <w:rFonts w:ascii="Verdana" w:eastAsia="Times New Roman" w:hAnsi="Verdana" w:cs="Arial"/>
              <w:noProof/>
              <w:sz w:val="14"/>
              <w:szCs w:val="14"/>
            </w:rPr>
          </w:pPr>
          <w:r w:rsidRPr="00A75441">
            <w:rPr>
              <w:rFonts w:ascii="Verdana" w:hAnsi="Verdana"/>
              <w:sz w:val="14"/>
              <w:szCs w:val="14"/>
            </w:rPr>
            <w:t>Faculty of Medicine/Programme Council for xxxxxxxx</w:t>
          </w:r>
        </w:p>
        <w:p w14:paraId="59278090" w14:textId="77777777" w:rsidR="008A2A0C" w:rsidRPr="001D2128" w:rsidRDefault="008A2A0C" w:rsidP="00A75441">
          <w:pPr>
            <w:widowControl/>
            <w:tabs>
              <w:tab w:val="center" w:pos="4680"/>
              <w:tab w:val="right" w:pos="9360"/>
            </w:tabs>
            <w:suppressAutoHyphens w:val="0"/>
            <w:spacing w:after="0" w:line="180" w:lineRule="atLeast"/>
            <w:rPr>
              <w:rFonts w:ascii="Verdana" w:eastAsia="Times New Roman" w:hAnsi="Verdana" w:cs="Arial"/>
              <w:noProof/>
              <w:sz w:val="14"/>
              <w:szCs w:val="20"/>
            </w:rPr>
          </w:pPr>
          <w:r w:rsidRPr="00A75441">
            <w:rPr>
              <w:rFonts w:ascii="Verdana" w:hAnsi="Verdana"/>
              <w:sz w:val="14"/>
              <w:szCs w:val="14"/>
            </w:rPr>
            <w:t>Umeå University, 901 87 Umeå</w:t>
          </w:r>
        </w:p>
      </w:tc>
      <w:tc>
        <w:tcPr>
          <w:tcW w:w="3226" w:type="dxa"/>
        </w:tcPr>
        <w:p w14:paraId="5B7BF292" w14:textId="77777777" w:rsidR="008A2A0C" w:rsidRPr="001D2128" w:rsidRDefault="007375E7" w:rsidP="008A2A0C">
          <w:pPr>
            <w:widowControl/>
            <w:tabs>
              <w:tab w:val="center" w:pos="4680"/>
              <w:tab w:val="right" w:pos="9360"/>
            </w:tabs>
            <w:suppressAutoHyphens w:val="0"/>
            <w:spacing w:before="40" w:after="0" w:line="180" w:lineRule="atLeast"/>
            <w:jc w:val="center"/>
            <w:rPr>
              <w:rFonts w:ascii="Verdana" w:eastAsia="Times New Roman" w:hAnsi="Verdana" w:cs="Arial"/>
              <w:noProof/>
              <w:sz w:val="14"/>
              <w:szCs w:val="20"/>
            </w:rPr>
          </w:pPr>
          <w:r w:rsidRPr="001D2128">
            <w:rPr>
              <w:rFonts w:ascii="Verdana" w:eastAsia="Times New Roman" w:hAnsi="Verdana" w:cs="Arial"/>
              <w:noProof/>
              <w:sz w:val="14"/>
              <w:szCs w:val="20"/>
              <w:lang w:val="en-US" w:eastAsia="zh-CN" w:bidi="he-IL"/>
            </w:rPr>
            <w:drawing>
              <wp:inline distT="0" distB="0" distL="0" distR="0" wp14:anchorId="33FDE93E" wp14:editId="2EE9D13B">
                <wp:extent cx="1761254" cy="614181"/>
                <wp:effectExtent l="0" t="0" r="0" b="0"/>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570" w:type="dxa"/>
        </w:tcPr>
        <w:p w14:paraId="3D15B836" w14:textId="77777777" w:rsidR="008A2A0C" w:rsidRPr="00A75441"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14"/>
            </w:rPr>
          </w:pPr>
          <w:r w:rsidRPr="00A75441">
            <w:rPr>
              <w:rFonts w:ascii="Verdana" w:hAnsi="Verdana"/>
              <w:sz w:val="14"/>
              <w:szCs w:val="14"/>
            </w:rPr>
            <w:t>Date: DAY/MONTH/YEAR</w:t>
          </w:r>
        </w:p>
        <w:p w14:paraId="0548BC0C" w14:textId="77777777" w:rsidR="008A2A0C" w:rsidRPr="00A75441" w:rsidRDefault="00A75441"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14"/>
            </w:rPr>
          </w:pPr>
          <w:r>
            <w:rPr>
              <w:rFonts w:ascii="Verdana" w:hAnsi="Verdana"/>
              <w:sz w:val="14"/>
            </w:rPr>
            <w:t xml:space="preserve">Pg. </w:t>
          </w:r>
          <w:r w:rsidR="00237A50" w:rsidRPr="00237A50">
            <w:rPr>
              <w:rFonts w:ascii="Verdana" w:hAnsi="Verdana"/>
              <w:sz w:val="14"/>
            </w:rPr>
            <w:fldChar w:fldCharType="begin"/>
          </w:r>
          <w:r w:rsidR="00237A50" w:rsidRPr="00237A50">
            <w:rPr>
              <w:rFonts w:ascii="Verdana" w:hAnsi="Verdana"/>
              <w:sz w:val="14"/>
            </w:rPr>
            <w:instrText xml:space="preserve"> PAGE   \* MERGEFORMAT </w:instrText>
          </w:r>
          <w:r w:rsidR="00237A50" w:rsidRPr="00237A50">
            <w:rPr>
              <w:rFonts w:ascii="Verdana" w:hAnsi="Verdana"/>
              <w:sz w:val="14"/>
            </w:rPr>
            <w:fldChar w:fldCharType="separate"/>
          </w:r>
          <w:r w:rsidR="00237A50">
            <w:rPr>
              <w:rFonts w:ascii="Verdana" w:hAnsi="Verdana"/>
              <w:noProof/>
              <w:sz w:val="14"/>
            </w:rPr>
            <w:t>4</w:t>
          </w:r>
          <w:r w:rsidR="00237A50" w:rsidRPr="00237A50">
            <w:rPr>
              <w:rFonts w:ascii="Verdana" w:hAnsi="Verdana"/>
              <w:noProof/>
              <w:sz w:val="14"/>
            </w:rPr>
            <w:fldChar w:fldCharType="end"/>
          </w:r>
          <w:r>
            <w:rPr>
              <w:rFonts w:ascii="Verdana" w:hAnsi="Verdana"/>
              <w:sz w:val="14"/>
            </w:rPr>
            <w:t xml:space="preserve"> (4)</w:t>
          </w:r>
        </w:p>
        <w:p w14:paraId="5262D653" w14:textId="77777777" w:rsidR="008A2A0C" w:rsidRPr="00A75441"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14"/>
            </w:rPr>
          </w:pPr>
          <w:r w:rsidRPr="00A75441">
            <w:rPr>
              <w:rFonts w:ascii="Verdana" w:hAnsi="Verdana"/>
              <w:sz w:val="14"/>
              <w:szCs w:val="14"/>
            </w:rPr>
            <w:t xml:space="preserve">Course syllabus </w:t>
          </w:r>
        </w:p>
        <w:p w14:paraId="34C5104F" w14:textId="77777777" w:rsidR="008A2A0C" w:rsidRPr="00A75441"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14"/>
            </w:rPr>
          </w:pPr>
          <w:r w:rsidRPr="00A75441">
            <w:rPr>
              <w:rFonts w:ascii="Verdana" w:hAnsi="Verdana"/>
              <w:sz w:val="14"/>
              <w:szCs w:val="14"/>
            </w:rPr>
            <w:t>Reg. no.:</w:t>
          </w:r>
        </w:p>
        <w:p w14:paraId="070F7E98" w14:textId="77777777" w:rsidR="008A2A0C" w:rsidRPr="00A75441"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14"/>
              <w:lang w:eastAsia="sv-SE"/>
            </w:rPr>
          </w:pPr>
        </w:p>
      </w:tc>
    </w:tr>
  </w:tbl>
  <w:p w14:paraId="38B59A12" w14:textId="77777777" w:rsidR="00B942A3" w:rsidRDefault="00B942A3">
    <w:pPr>
      <w:pStyle w:val="Sidhuvud"/>
      <w:spacing w:after="0"/>
    </w:pPr>
  </w:p>
  <w:p w14:paraId="29E4691A" w14:textId="77777777" w:rsidR="008A2A0C" w:rsidRDefault="008A2A0C">
    <w:pPr>
      <w:pStyle w:val="Sidhuvud"/>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8A2A0C" w:rsidRPr="001D2128" w14:paraId="6CD19EE6" w14:textId="77777777" w:rsidTr="008E54D5">
      <w:trPr>
        <w:trHeight w:val="426"/>
      </w:trPr>
      <w:tc>
        <w:tcPr>
          <w:tcW w:w="3569" w:type="dxa"/>
        </w:tcPr>
        <w:p w14:paraId="53320400" w14:textId="77777777" w:rsidR="00A61AE2" w:rsidRDefault="00A61AE2" w:rsidP="00A61AE2">
          <w:pPr>
            <w:widowControl/>
            <w:tabs>
              <w:tab w:val="center" w:pos="4680"/>
              <w:tab w:val="right" w:pos="9360"/>
            </w:tabs>
            <w:suppressAutoHyphens w:val="0"/>
            <w:spacing w:after="0" w:line="180" w:lineRule="atLeast"/>
            <w:rPr>
              <w:rFonts w:ascii="Verdana" w:eastAsia="Times New Roman" w:hAnsi="Verdana" w:cs="Arial"/>
              <w:noProof/>
              <w:sz w:val="14"/>
              <w:szCs w:val="20"/>
            </w:rPr>
          </w:pPr>
          <w:r>
            <w:rPr>
              <w:rFonts w:ascii="Verdana" w:hAnsi="Verdana"/>
              <w:sz w:val="14"/>
            </w:rPr>
            <w:t>Faculty of Medicine</w:t>
          </w:r>
        </w:p>
        <w:p w14:paraId="40D063F1" w14:textId="77777777" w:rsidR="008A2A0C" w:rsidRDefault="008A2A0C" w:rsidP="00A61AE2">
          <w:pPr>
            <w:widowControl/>
            <w:tabs>
              <w:tab w:val="center" w:pos="4680"/>
              <w:tab w:val="right" w:pos="9360"/>
            </w:tabs>
            <w:suppressAutoHyphens w:val="0"/>
            <w:spacing w:after="0" w:line="180" w:lineRule="atLeast"/>
            <w:rPr>
              <w:rFonts w:ascii="Verdana" w:eastAsia="Times New Roman" w:hAnsi="Verdana" w:cs="Arial"/>
              <w:noProof/>
              <w:sz w:val="14"/>
              <w:szCs w:val="20"/>
            </w:rPr>
          </w:pPr>
          <w:r>
            <w:rPr>
              <w:rFonts w:ascii="Verdana" w:hAnsi="Verdana"/>
              <w:sz w:val="14"/>
            </w:rPr>
            <w:t>Umeå University, 901 87 Umeå</w:t>
          </w:r>
        </w:p>
        <w:p w14:paraId="1596FCA1" w14:textId="77777777" w:rsidR="00BE1F4C" w:rsidRDefault="00BE1F4C" w:rsidP="00A61AE2">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p>
        <w:p w14:paraId="5C666B6D" w14:textId="77777777" w:rsidR="00BE1F4C" w:rsidRPr="001D2128" w:rsidRDefault="00BE1F4C" w:rsidP="00A61AE2">
          <w:pPr>
            <w:widowControl/>
            <w:tabs>
              <w:tab w:val="center" w:pos="4680"/>
              <w:tab w:val="right" w:pos="9360"/>
            </w:tabs>
            <w:suppressAutoHyphens w:val="0"/>
            <w:spacing w:after="0" w:line="180" w:lineRule="atLeast"/>
            <w:rPr>
              <w:rFonts w:ascii="Verdana" w:eastAsia="Times New Roman" w:hAnsi="Verdana" w:cs="Arial"/>
              <w:noProof/>
              <w:sz w:val="14"/>
              <w:szCs w:val="20"/>
            </w:rPr>
          </w:pPr>
          <w:r>
            <w:rPr>
              <w:rFonts w:ascii="Verdana" w:hAnsi="Verdana"/>
              <w:sz w:val="14"/>
            </w:rPr>
            <w:t>Course syllabus template</w:t>
          </w:r>
        </w:p>
      </w:tc>
      <w:tc>
        <w:tcPr>
          <w:tcW w:w="3570" w:type="dxa"/>
        </w:tcPr>
        <w:p w14:paraId="6034249D" w14:textId="77777777" w:rsidR="008A2A0C" w:rsidRPr="001D2128" w:rsidRDefault="00A75441" w:rsidP="008A2A0C">
          <w:pPr>
            <w:widowControl/>
            <w:tabs>
              <w:tab w:val="center" w:pos="4680"/>
              <w:tab w:val="right" w:pos="9360"/>
            </w:tabs>
            <w:suppressAutoHyphens w:val="0"/>
            <w:spacing w:before="40" w:after="0" w:line="180" w:lineRule="atLeast"/>
            <w:jc w:val="center"/>
            <w:rPr>
              <w:rFonts w:ascii="Verdana" w:eastAsia="Times New Roman" w:hAnsi="Verdana" w:cs="Arial"/>
              <w:noProof/>
              <w:sz w:val="14"/>
              <w:szCs w:val="20"/>
            </w:rPr>
          </w:pPr>
          <w:r w:rsidRPr="001D2128">
            <w:rPr>
              <w:rFonts w:ascii="Verdana" w:eastAsia="Times New Roman" w:hAnsi="Verdana" w:cs="Arial"/>
              <w:noProof/>
              <w:sz w:val="14"/>
              <w:szCs w:val="20"/>
              <w:lang w:val="en-US" w:eastAsia="zh-CN" w:bidi="he-IL"/>
            </w:rPr>
            <w:drawing>
              <wp:inline distT="0" distB="0" distL="0" distR="0" wp14:anchorId="1402B7B6" wp14:editId="474E745E">
                <wp:extent cx="1761254" cy="614181"/>
                <wp:effectExtent l="0" t="0" r="0" b="0"/>
                <wp:docPr id="3"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570" w:type="dxa"/>
        </w:tcPr>
        <w:p w14:paraId="4B6D8A14"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rPr>
          </w:pPr>
          <w:r>
            <w:rPr>
              <w:rFonts w:ascii="Verdana" w:hAnsi="Verdana"/>
              <w:sz w:val="14"/>
            </w:rPr>
            <w:t>Date: DD/MONTH/YYYY</w:t>
          </w:r>
        </w:p>
        <w:p w14:paraId="44570273" w14:textId="77777777" w:rsidR="00A75441" w:rsidRDefault="00A75441" w:rsidP="008A2A0C">
          <w:pPr>
            <w:widowControl/>
            <w:tabs>
              <w:tab w:val="center" w:pos="4680"/>
              <w:tab w:val="right" w:pos="9360"/>
            </w:tabs>
            <w:suppressAutoHyphens w:val="0"/>
            <w:spacing w:after="0" w:line="180" w:lineRule="atLeast"/>
            <w:jc w:val="right"/>
            <w:rPr>
              <w:rFonts w:ascii="Verdana" w:hAnsi="Verdana"/>
              <w:sz w:val="14"/>
            </w:rPr>
          </w:pPr>
          <w:r>
            <w:rPr>
              <w:rFonts w:ascii="Verdana" w:hAnsi="Verdana"/>
              <w:sz w:val="14"/>
            </w:rPr>
            <w:t xml:space="preserve">Pg. </w:t>
          </w:r>
          <w:r w:rsidR="00237A50" w:rsidRPr="00237A50">
            <w:rPr>
              <w:rFonts w:ascii="Verdana" w:hAnsi="Verdana"/>
              <w:sz w:val="14"/>
            </w:rPr>
            <w:fldChar w:fldCharType="begin"/>
          </w:r>
          <w:r w:rsidR="00237A50" w:rsidRPr="00237A50">
            <w:rPr>
              <w:rFonts w:ascii="Verdana" w:hAnsi="Verdana"/>
              <w:sz w:val="14"/>
            </w:rPr>
            <w:instrText xml:space="preserve"> PAGE   \* MERGEFORMAT </w:instrText>
          </w:r>
          <w:r w:rsidR="00237A50" w:rsidRPr="00237A50">
            <w:rPr>
              <w:rFonts w:ascii="Verdana" w:hAnsi="Verdana"/>
              <w:sz w:val="14"/>
            </w:rPr>
            <w:fldChar w:fldCharType="separate"/>
          </w:r>
          <w:r w:rsidR="00237A50">
            <w:rPr>
              <w:rFonts w:ascii="Verdana" w:hAnsi="Verdana"/>
              <w:noProof/>
              <w:sz w:val="14"/>
            </w:rPr>
            <w:t>1</w:t>
          </w:r>
          <w:r w:rsidR="00237A50" w:rsidRPr="00237A50">
            <w:rPr>
              <w:rFonts w:ascii="Verdana" w:hAnsi="Verdana"/>
              <w:noProof/>
              <w:sz w:val="14"/>
            </w:rPr>
            <w:fldChar w:fldCharType="end"/>
          </w:r>
          <w:r>
            <w:rPr>
              <w:rFonts w:ascii="Verdana" w:hAnsi="Verdana"/>
              <w:sz w:val="14"/>
            </w:rPr>
            <w:t xml:space="preserve"> (4)</w:t>
          </w:r>
        </w:p>
        <w:p w14:paraId="5905BFCE"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rPr>
          </w:pPr>
          <w:r>
            <w:rPr>
              <w:rFonts w:ascii="Verdana" w:hAnsi="Verdana"/>
              <w:sz w:val="14"/>
            </w:rPr>
            <w:t xml:space="preserve">Course syllabus </w:t>
          </w:r>
        </w:p>
        <w:p w14:paraId="4C9C2D5C"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rPr>
          </w:pPr>
          <w:r>
            <w:rPr>
              <w:rFonts w:ascii="Verdana" w:hAnsi="Verdana"/>
              <w:sz w:val="14"/>
            </w:rPr>
            <w:t>Reg. no.:</w:t>
          </w:r>
        </w:p>
        <w:p w14:paraId="1E84EF00"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lang w:eastAsia="sv-SE"/>
            </w:rPr>
          </w:pPr>
        </w:p>
      </w:tc>
    </w:tr>
  </w:tbl>
  <w:p w14:paraId="40C9DDD5" w14:textId="77777777" w:rsidR="00B942A3" w:rsidRDefault="00B942A3" w:rsidP="004E67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0C1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5484734"/>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Rubrik1"/>
      <w:lvlText w:val=""/>
      <w:lvlJc w:val="left"/>
      <w:pPr>
        <w:tabs>
          <w:tab w:val="num" w:pos="432"/>
        </w:tabs>
        <w:ind w:left="432" w:hanging="432"/>
      </w:pPr>
    </w:lvl>
    <w:lvl w:ilvl="1">
      <w:start w:val="1"/>
      <w:numFmt w:val="none"/>
      <w:pStyle w:val="Rubri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38A77BD"/>
    <w:multiLevelType w:val="hybridMultilevel"/>
    <w:tmpl w:val="A3880D02"/>
    <w:lvl w:ilvl="0" w:tplc="2B829590">
      <w:start w:val="2"/>
      <w:numFmt w:val="bullet"/>
      <w:lvlText w:val="-"/>
      <w:lvlJc w:val="left"/>
      <w:pPr>
        <w:tabs>
          <w:tab w:val="num" w:pos="720"/>
        </w:tabs>
        <w:ind w:left="720" w:hanging="360"/>
      </w:pPr>
      <w:rPr>
        <w:rFonts w:ascii="Times" w:eastAsia="Times New Roman" w:hAnsi="Times" w:cs="TimesNewRomanPSMT" w:hint="default"/>
      </w:rPr>
    </w:lvl>
    <w:lvl w:ilvl="1" w:tplc="041D0003" w:tentative="1">
      <w:start w:val="1"/>
      <w:numFmt w:val="bullet"/>
      <w:lvlText w:val="o"/>
      <w:lvlJc w:val="left"/>
      <w:pPr>
        <w:tabs>
          <w:tab w:val="num" w:pos="1440"/>
        </w:tabs>
        <w:ind w:left="1440" w:hanging="360"/>
      </w:pPr>
      <w:rPr>
        <w:rFonts w:ascii="Courier New" w:hAnsi="Courier New" w:cs="TimesNewRomanPSM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imesNewRomanPSM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imesNewRomanPSM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B06DB"/>
    <w:multiLevelType w:val="hybridMultilevel"/>
    <w:tmpl w:val="6A221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613AA0"/>
    <w:multiLevelType w:val="hybridMultilevel"/>
    <w:tmpl w:val="7FF6A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8D2CB1"/>
    <w:multiLevelType w:val="hybridMultilevel"/>
    <w:tmpl w:val="5FA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8B1D76"/>
    <w:multiLevelType w:val="hybridMultilevel"/>
    <w:tmpl w:val="8DE28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8A7BD7"/>
    <w:multiLevelType w:val="hybridMultilevel"/>
    <w:tmpl w:val="7DFCCB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E474F1"/>
    <w:multiLevelType w:val="hybridMultilevel"/>
    <w:tmpl w:val="1924F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472B57"/>
    <w:multiLevelType w:val="hybridMultilevel"/>
    <w:tmpl w:val="E2B4D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0"/>
  </w:num>
  <w:num w:numId="6">
    <w:abstractNumId w:val="4"/>
  </w:num>
  <w:num w:numId="7">
    <w:abstractNumId w:val="6"/>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trackRevisions/>
  <w:defaultTabStop w:val="1304"/>
  <w:hyphenationZone w:val="425"/>
  <w:defaultTableStyle w:val="Normal"/>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2F"/>
    <w:rsid w:val="000027DA"/>
    <w:rsid w:val="000127A6"/>
    <w:rsid w:val="0003194F"/>
    <w:rsid w:val="000371A6"/>
    <w:rsid w:val="00077B26"/>
    <w:rsid w:val="000846AC"/>
    <w:rsid w:val="000A5EF1"/>
    <w:rsid w:val="000B619F"/>
    <w:rsid w:val="000D07A6"/>
    <w:rsid w:val="000F5C4F"/>
    <w:rsid w:val="00100B3E"/>
    <w:rsid w:val="00100E6F"/>
    <w:rsid w:val="00101D19"/>
    <w:rsid w:val="00140144"/>
    <w:rsid w:val="00150C5A"/>
    <w:rsid w:val="001510EF"/>
    <w:rsid w:val="00155E7B"/>
    <w:rsid w:val="0016074B"/>
    <w:rsid w:val="001719D2"/>
    <w:rsid w:val="001A7268"/>
    <w:rsid w:val="001C53F3"/>
    <w:rsid w:val="001C6498"/>
    <w:rsid w:val="001D77B4"/>
    <w:rsid w:val="002144E3"/>
    <w:rsid w:val="002212A9"/>
    <w:rsid w:val="00236EB6"/>
    <w:rsid w:val="00237A50"/>
    <w:rsid w:val="00251DE6"/>
    <w:rsid w:val="00251FD2"/>
    <w:rsid w:val="00262142"/>
    <w:rsid w:val="00263A6A"/>
    <w:rsid w:val="00273C4C"/>
    <w:rsid w:val="00273DB3"/>
    <w:rsid w:val="002959F9"/>
    <w:rsid w:val="002B3D52"/>
    <w:rsid w:val="002B45B8"/>
    <w:rsid w:val="002E4D3B"/>
    <w:rsid w:val="002F0356"/>
    <w:rsid w:val="00301009"/>
    <w:rsid w:val="003032A0"/>
    <w:rsid w:val="00311517"/>
    <w:rsid w:val="00321420"/>
    <w:rsid w:val="00324C6D"/>
    <w:rsid w:val="003251B5"/>
    <w:rsid w:val="00332346"/>
    <w:rsid w:val="003334BE"/>
    <w:rsid w:val="00340A25"/>
    <w:rsid w:val="0034550C"/>
    <w:rsid w:val="00351961"/>
    <w:rsid w:val="00353994"/>
    <w:rsid w:val="003579FA"/>
    <w:rsid w:val="0039715E"/>
    <w:rsid w:val="003B3878"/>
    <w:rsid w:val="003E2BEF"/>
    <w:rsid w:val="003F795F"/>
    <w:rsid w:val="00427731"/>
    <w:rsid w:val="00481C23"/>
    <w:rsid w:val="00483372"/>
    <w:rsid w:val="004C0100"/>
    <w:rsid w:val="004C3022"/>
    <w:rsid w:val="004E08D7"/>
    <w:rsid w:val="004E672E"/>
    <w:rsid w:val="004F4BBA"/>
    <w:rsid w:val="0050303E"/>
    <w:rsid w:val="00517481"/>
    <w:rsid w:val="0053213C"/>
    <w:rsid w:val="005351AF"/>
    <w:rsid w:val="005552BE"/>
    <w:rsid w:val="00575451"/>
    <w:rsid w:val="005A697A"/>
    <w:rsid w:val="005B7345"/>
    <w:rsid w:val="005C1944"/>
    <w:rsid w:val="005C502F"/>
    <w:rsid w:val="005D1E4A"/>
    <w:rsid w:val="005E3DF2"/>
    <w:rsid w:val="005E406E"/>
    <w:rsid w:val="00625866"/>
    <w:rsid w:val="0062774D"/>
    <w:rsid w:val="00640471"/>
    <w:rsid w:val="006411E2"/>
    <w:rsid w:val="0065731A"/>
    <w:rsid w:val="006771C2"/>
    <w:rsid w:val="006825A7"/>
    <w:rsid w:val="006A5000"/>
    <w:rsid w:val="006A7667"/>
    <w:rsid w:val="006D2940"/>
    <w:rsid w:val="006D7528"/>
    <w:rsid w:val="006E2405"/>
    <w:rsid w:val="006E790A"/>
    <w:rsid w:val="006F2D24"/>
    <w:rsid w:val="00701A6F"/>
    <w:rsid w:val="00706BFB"/>
    <w:rsid w:val="00711F72"/>
    <w:rsid w:val="007375E7"/>
    <w:rsid w:val="007377C8"/>
    <w:rsid w:val="0075428B"/>
    <w:rsid w:val="0076335A"/>
    <w:rsid w:val="007829E1"/>
    <w:rsid w:val="007969F8"/>
    <w:rsid w:val="007B70E3"/>
    <w:rsid w:val="007B76BC"/>
    <w:rsid w:val="007C0EA8"/>
    <w:rsid w:val="007E2434"/>
    <w:rsid w:val="007E2F51"/>
    <w:rsid w:val="007E66C3"/>
    <w:rsid w:val="007F510E"/>
    <w:rsid w:val="007F741E"/>
    <w:rsid w:val="00803F5C"/>
    <w:rsid w:val="00812FC9"/>
    <w:rsid w:val="00823E07"/>
    <w:rsid w:val="0082462B"/>
    <w:rsid w:val="00824904"/>
    <w:rsid w:val="00846F35"/>
    <w:rsid w:val="008648A2"/>
    <w:rsid w:val="00864DEF"/>
    <w:rsid w:val="008A18C8"/>
    <w:rsid w:val="008A2A0C"/>
    <w:rsid w:val="008B3318"/>
    <w:rsid w:val="008C450C"/>
    <w:rsid w:val="008C6A4E"/>
    <w:rsid w:val="008D029A"/>
    <w:rsid w:val="008F0DA3"/>
    <w:rsid w:val="0090020E"/>
    <w:rsid w:val="009160F9"/>
    <w:rsid w:val="0092139F"/>
    <w:rsid w:val="0092316E"/>
    <w:rsid w:val="00926235"/>
    <w:rsid w:val="009262A5"/>
    <w:rsid w:val="00975106"/>
    <w:rsid w:val="00983EBE"/>
    <w:rsid w:val="009867BE"/>
    <w:rsid w:val="009D3F5B"/>
    <w:rsid w:val="009E7BFC"/>
    <w:rsid w:val="00A00F3F"/>
    <w:rsid w:val="00A02F46"/>
    <w:rsid w:val="00A12BAC"/>
    <w:rsid w:val="00A26C3E"/>
    <w:rsid w:val="00A61AE2"/>
    <w:rsid w:val="00A72ED7"/>
    <w:rsid w:val="00A75441"/>
    <w:rsid w:val="00A82043"/>
    <w:rsid w:val="00A9182F"/>
    <w:rsid w:val="00AA416E"/>
    <w:rsid w:val="00AA524E"/>
    <w:rsid w:val="00AA5AE7"/>
    <w:rsid w:val="00AB101C"/>
    <w:rsid w:val="00AB2E7D"/>
    <w:rsid w:val="00AC036C"/>
    <w:rsid w:val="00AC1602"/>
    <w:rsid w:val="00AD70E3"/>
    <w:rsid w:val="00AE1769"/>
    <w:rsid w:val="00AE46AD"/>
    <w:rsid w:val="00B031ED"/>
    <w:rsid w:val="00B24E22"/>
    <w:rsid w:val="00B3105D"/>
    <w:rsid w:val="00B34592"/>
    <w:rsid w:val="00B359C8"/>
    <w:rsid w:val="00B51526"/>
    <w:rsid w:val="00B53702"/>
    <w:rsid w:val="00B61BF3"/>
    <w:rsid w:val="00B64738"/>
    <w:rsid w:val="00B7390D"/>
    <w:rsid w:val="00B80391"/>
    <w:rsid w:val="00B942A3"/>
    <w:rsid w:val="00B96EC4"/>
    <w:rsid w:val="00BB4185"/>
    <w:rsid w:val="00BB51CB"/>
    <w:rsid w:val="00BC7767"/>
    <w:rsid w:val="00BD38AE"/>
    <w:rsid w:val="00BE1F4C"/>
    <w:rsid w:val="00BE2106"/>
    <w:rsid w:val="00BF17B3"/>
    <w:rsid w:val="00BF673E"/>
    <w:rsid w:val="00C11D2B"/>
    <w:rsid w:val="00C20CF4"/>
    <w:rsid w:val="00C34AD5"/>
    <w:rsid w:val="00C62036"/>
    <w:rsid w:val="00C8285E"/>
    <w:rsid w:val="00C90559"/>
    <w:rsid w:val="00CB1265"/>
    <w:rsid w:val="00CD7C2B"/>
    <w:rsid w:val="00D00834"/>
    <w:rsid w:val="00D03C22"/>
    <w:rsid w:val="00D24CFE"/>
    <w:rsid w:val="00D3697C"/>
    <w:rsid w:val="00D96704"/>
    <w:rsid w:val="00DF38FC"/>
    <w:rsid w:val="00DF59BA"/>
    <w:rsid w:val="00DF6A64"/>
    <w:rsid w:val="00E019A0"/>
    <w:rsid w:val="00E344F1"/>
    <w:rsid w:val="00E3728D"/>
    <w:rsid w:val="00E56AD9"/>
    <w:rsid w:val="00E74EF0"/>
    <w:rsid w:val="00EA0EF0"/>
    <w:rsid w:val="00ED7279"/>
    <w:rsid w:val="00EE0440"/>
    <w:rsid w:val="00F00454"/>
    <w:rsid w:val="00F073A5"/>
    <w:rsid w:val="00F301BB"/>
    <w:rsid w:val="00F429BC"/>
    <w:rsid w:val="00F42DFA"/>
    <w:rsid w:val="00F52D41"/>
    <w:rsid w:val="00F674D3"/>
    <w:rsid w:val="00F70C1C"/>
    <w:rsid w:val="00F801A7"/>
    <w:rsid w:val="00F81797"/>
    <w:rsid w:val="00F924BB"/>
    <w:rsid w:val="00F92661"/>
    <w:rsid w:val="00F960F1"/>
    <w:rsid w:val="00FA0A88"/>
    <w:rsid w:val="00FF29FD"/>
  </w:rsids>
  <m:mathPr>
    <m:mathFont m:val="Cambria Math"/>
    <m:brkBin m:val="before"/>
    <m:brkBinSub m:val="--"/>
    <m:smallFrac m:val="0"/>
    <m:dispDef m:val="0"/>
    <m:lMargin m:val="0"/>
    <m:rMargin m:val="0"/>
    <m:defJc m:val="centerGroup"/>
    <m:wrapRight/>
    <m:intLim m:val="subSup"/>
    <m:naryLim m:val="subSup"/>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6820AF"/>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BB"/>
    <w:pPr>
      <w:widowControl w:val="0"/>
      <w:suppressAutoHyphens/>
      <w:spacing w:after="200"/>
    </w:pPr>
    <w:rPr>
      <w:rFonts w:ascii="Georgia" w:eastAsia="Cambria" w:hAnsi="Georgia" w:cs="Cambria"/>
      <w:sz w:val="24"/>
      <w:szCs w:val="24"/>
      <w:lang w:eastAsia="ar-SA"/>
    </w:rPr>
  </w:style>
  <w:style w:type="paragraph" w:styleId="Rubrik1">
    <w:name w:val="heading 1"/>
    <w:basedOn w:val="Heading"/>
    <w:next w:val="Brdtext"/>
    <w:qFormat/>
    <w:rsid w:val="00F924BB"/>
    <w:pPr>
      <w:numPr>
        <w:numId w:val="1"/>
      </w:numPr>
      <w:outlineLvl w:val="0"/>
    </w:pPr>
    <w:rPr>
      <w:b/>
      <w:bCs/>
      <w:sz w:val="32"/>
      <w:szCs w:val="32"/>
    </w:rPr>
  </w:style>
  <w:style w:type="paragraph" w:styleId="Rubrik2">
    <w:name w:val="heading 2"/>
    <w:basedOn w:val="Heading"/>
    <w:next w:val="Brdtext"/>
    <w:qFormat/>
    <w:rsid w:val="00F924BB"/>
    <w:pPr>
      <w:numPr>
        <w:ilvl w:val="1"/>
        <w:numId w:val="1"/>
      </w:numPr>
      <w:outlineLvl w:val="1"/>
    </w:pPr>
    <w:rPr>
      <w:b/>
      <w:bCs/>
      <w:i/>
      <w:iCs/>
    </w:rPr>
  </w:style>
  <w:style w:type="paragraph" w:styleId="Rubrik3">
    <w:name w:val="heading 3"/>
    <w:basedOn w:val="Normal"/>
    <w:next w:val="Normal"/>
    <w:link w:val="Rubrik3Char"/>
    <w:uiPriority w:val="9"/>
    <w:qFormat/>
    <w:rsid w:val="001D77B4"/>
    <w:pPr>
      <w:keepNext/>
      <w:keepLines/>
      <w:widowControl/>
      <w:suppressAutoHyphens w:val="0"/>
      <w:spacing w:before="200" w:after="0"/>
      <w:outlineLvl w:val="2"/>
    </w:pPr>
    <w:rPr>
      <w:rFonts w:ascii="Cambria" w:eastAsia="Times New Roman" w:hAnsi="Cambria" w:cs="Times New Roman"/>
      <w:b/>
      <w:bCs/>
      <w:color w:val="4F81BD"/>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rsid w:val="00F924BB"/>
  </w:style>
  <w:style w:type="character" w:customStyle="1" w:styleId="WW8Num6z0">
    <w:name w:val="WW8Num6z0"/>
    <w:rsid w:val="00F924BB"/>
    <w:rPr>
      <w:rFonts w:ascii="Symbol" w:hAnsi="Symbol"/>
    </w:rPr>
  </w:style>
  <w:style w:type="character" w:customStyle="1" w:styleId="WW8Num6z1">
    <w:name w:val="WW8Num6z1"/>
    <w:rsid w:val="00F924BB"/>
    <w:rPr>
      <w:rFonts w:ascii="Courier New" w:hAnsi="Courier New"/>
    </w:rPr>
  </w:style>
  <w:style w:type="character" w:customStyle="1" w:styleId="WW8Num6z2">
    <w:name w:val="WW8Num6z2"/>
    <w:rsid w:val="00F924BB"/>
    <w:rPr>
      <w:rFonts w:ascii="Wingdings" w:hAnsi="Wingdings"/>
    </w:rPr>
  </w:style>
  <w:style w:type="character" w:customStyle="1" w:styleId="WW8Num7z0">
    <w:name w:val="WW8Num7z0"/>
    <w:rsid w:val="00F924BB"/>
    <w:rPr>
      <w:rFonts w:ascii="Symbol" w:hAnsi="Symbol"/>
    </w:rPr>
  </w:style>
  <w:style w:type="character" w:customStyle="1" w:styleId="WW8Num7z1">
    <w:name w:val="WW8Num7z1"/>
    <w:rsid w:val="00F924BB"/>
    <w:rPr>
      <w:rFonts w:ascii="Courier New" w:hAnsi="Courier New"/>
    </w:rPr>
  </w:style>
  <w:style w:type="character" w:customStyle="1" w:styleId="WW8Num7z2">
    <w:name w:val="WW8Num7z2"/>
    <w:rsid w:val="00F924BB"/>
    <w:rPr>
      <w:rFonts w:ascii="Wingdings" w:hAnsi="Wingdings"/>
    </w:rPr>
  </w:style>
  <w:style w:type="character" w:customStyle="1" w:styleId="WW8Num8z0">
    <w:name w:val="WW8Num8z0"/>
    <w:rsid w:val="00F924BB"/>
    <w:rPr>
      <w:rFonts w:ascii="Symbol" w:hAnsi="Symbol"/>
    </w:rPr>
  </w:style>
  <w:style w:type="character" w:customStyle="1" w:styleId="WW8Num8z1">
    <w:name w:val="WW8Num8z1"/>
    <w:rsid w:val="00F924BB"/>
    <w:rPr>
      <w:rFonts w:ascii="Courier New" w:hAnsi="Courier New"/>
    </w:rPr>
  </w:style>
  <w:style w:type="character" w:customStyle="1" w:styleId="WW8Num8z2">
    <w:name w:val="WW8Num8z2"/>
    <w:rsid w:val="00F924BB"/>
    <w:rPr>
      <w:rFonts w:ascii="Wingdings" w:hAnsi="Wingdings"/>
    </w:rPr>
  </w:style>
  <w:style w:type="character" w:customStyle="1" w:styleId="WW8Num9z0">
    <w:name w:val="WW8Num9z0"/>
    <w:rsid w:val="00F924BB"/>
    <w:rPr>
      <w:rFonts w:ascii="Symbol" w:hAnsi="Symbol"/>
    </w:rPr>
  </w:style>
  <w:style w:type="character" w:customStyle="1" w:styleId="WW8Num9z1">
    <w:name w:val="WW8Num9z1"/>
    <w:rsid w:val="00F924BB"/>
    <w:rPr>
      <w:rFonts w:ascii="Courier New" w:hAnsi="Courier New"/>
    </w:rPr>
  </w:style>
  <w:style w:type="character" w:customStyle="1" w:styleId="WW8Num9z2">
    <w:name w:val="WW8Num9z2"/>
    <w:rsid w:val="00F924BB"/>
    <w:rPr>
      <w:rFonts w:ascii="Wingdings" w:hAnsi="Wingdings"/>
    </w:rPr>
  </w:style>
  <w:style w:type="character" w:customStyle="1" w:styleId="WW8Num10z1">
    <w:name w:val="WW8Num10z1"/>
    <w:rsid w:val="00F924BB"/>
    <w:rPr>
      <w:rFonts w:ascii="Courier New" w:hAnsi="Courier New"/>
    </w:rPr>
  </w:style>
  <w:style w:type="character" w:customStyle="1" w:styleId="WW8Num10z2">
    <w:name w:val="WW8Num10z2"/>
    <w:rsid w:val="00F924BB"/>
    <w:rPr>
      <w:rFonts w:ascii="Wingdings" w:hAnsi="Wingdings"/>
    </w:rPr>
  </w:style>
  <w:style w:type="character" w:customStyle="1" w:styleId="WW8Num10z3">
    <w:name w:val="WW8Num10z3"/>
    <w:rsid w:val="00F924BB"/>
    <w:rPr>
      <w:rFonts w:ascii="Symbol" w:hAnsi="Symbol"/>
    </w:rPr>
  </w:style>
  <w:style w:type="character" w:customStyle="1" w:styleId="BubbeltextChar">
    <w:name w:val="Bubbeltext Char"/>
    <w:rsid w:val="00F924BB"/>
    <w:rPr>
      <w:rFonts w:ascii="Lucida Grande" w:hAnsi="Lucida Grande"/>
      <w:sz w:val="18"/>
      <w:szCs w:val="18"/>
    </w:rPr>
  </w:style>
  <w:style w:type="character" w:customStyle="1" w:styleId="SidhuvudChar">
    <w:name w:val="Sidhuvud Char"/>
    <w:rsid w:val="00F924BB"/>
    <w:rPr>
      <w:rFonts w:ascii="Verdana" w:hAnsi="Verdana"/>
      <w:sz w:val="16"/>
      <w:szCs w:val="24"/>
    </w:rPr>
  </w:style>
  <w:style w:type="character" w:customStyle="1" w:styleId="SidfotChar">
    <w:name w:val="Sidfot Char"/>
    <w:rsid w:val="00F924BB"/>
    <w:rPr>
      <w:sz w:val="24"/>
      <w:szCs w:val="24"/>
    </w:rPr>
  </w:style>
  <w:style w:type="character" w:styleId="Sidnummer">
    <w:name w:val="page number"/>
    <w:basedOn w:val="Standardstycketeckensnitt"/>
    <w:rsid w:val="00F924BB"/>
  </w:style>
  <w:style w:type="character" w:styleId="Hyperlnk">
    <w:name w:val="Hyperlink"/>
    <w:rsid w:val="00F924BB"/>
    <w:rPr>
      <w:color w:val="0000FF"/>
      <w:u w:val="single"/>
    </w:rPr>
  </w:style>
  <w:style w:type="character" w:styleId="AnvndHyperlnk">
    <w:name w:val="FollowedHyperlink"/>
    <w:rsid w:val="00F924BB"/>
    <w:rPr>
      <w:color w:val="800080"/>
      <w:u w:val="single"/>
    </w:rPr>
  </w:style>
  <w:style w:type="character" w:styleId="Stark">
    <w:name w:val="Strong"/>
    <w:qFormat/>
    <w:rsid w:val="00F924BB"/>
    <w:rPr>
      <w:b/>
      <w:bCs/>
    </w:rPr>
  </w:style>
  <w:style w:type="paragraph" w:customStyle="1" w:styleId="Heading">
    <w:name w:val="Heading"/>
    <w:basedOn w:val="Normal"/>
    <w:next w:val="Brdtext"/>
    <w:rsid w:val="00F924BB"/>
    <w:pPr>
      <w:keepNext/>
      <w:spacing w:before="240" w:after="120"/>
    </w:pPr>
    <w:rPr>
      <w:rFonts w:ascii="Arial" w:eastAsia="MS Mincho" w:hAnsi="Arial" w:cs="Tahoma"/>
      <w:sz w:val="28"/>
      <w:szCs w:val="28"/>
    </w:rPr>
  </w:style>
  <w:style w:type="paragraph" w:styleId="Brdtext">
    <w:name w:val="Body Text"/>
    <w:basedOn w:val="Normal"/>
    <w:rsid w:val="00F924BB"/>
    <w:pPr>
      <w:spacing w:after="120"/>
    </w:pPr>
  </w:style>
  <w:style w:type="paragraph" w:styleId="Lista">
    <w:name w:val="List"/>
    <w:basedOn w:val="Brdtext"/>
    <w:rsid w:val="00F924BB"/>
    <w:rPr>
      <w:rFonts w:ascii="Calibri" w:hAnsi="Calibri" w:cs="Tahoma"/>
    </w:rPr>
  </w:style>
  <w:style w:type="paragraph" w:customStyle="1" w:styleId="Beskrivning1">
    <w:name w:val="Beskrivning1"/>
    <w:basedOn w:val="Normal"/>
    <w:rsid w:val="00F924BB"/>
    <w:pPr>
      <w:suppressLineNumbers/>
      <w:spacing w:before="120" w:after="120"/>
    </w:pPr>
    <w:rPr>
      <w:rFonts w:ascii="Calibri" w:hAnsi="Calibri" w:cs="Tahoma"/>
      <w:i/>
      <w:iCs/>
    </w:rPr>
  </w:style>
  <w:style w:type="paragraph" w:customStyle="1" w:styleId="Index">
    <w:name w:val="Index"/>
    <w:basedOn w:val="Normal"/>
    <w:rsid w:val="00F924BB"/>
    <w:pPr>
      <w:suppressLineNumbers/>
    </w:pPr>
    <w:rPr>
      <w:rFonts w:ascii="Calibri" w:hAnsi="Calibri" w:cs="Tahoma"/>
    </w:rPr>
  </w:style>
  <w:style w:type="paragraph" w:styleId="Ballongtext">
    <w:name w:val="Balloon Text"/>
    <w:basedOn w:val="Normal"/>
    <w:rsid w:val="00F924BB"/>
    <w:pPr>
      <w:spacing w:after="0"/>
    </w:pPr>
    <w:rPr>
      <w:rFonts w:ascii="Lucida Grande" w:hAnsi="Lucida Grande"/>
      <w:sz w:val="18"/>
      <w:szCs w:val="18"/>
    </w:rPr>
  </w:style>
  <w:style w:type="paragraph" w:styleId="Sidhuvud">
    <w:name w:val="header"/>
    <w:basedOn w:val="Normal"/>
    <w:rsid w:val="00F924BB"/>
    <w:pPr>
      <w:tabs>
        <w:tab w:val="center" w:pos="4536"/>
        <w:tab w:val="right" w:pos="9072"/>
      </w:tabs>
    </w:pPr>
    <w:rPr>
      <w:rFonts w:ascii="Verdana" w:hAnsi="Verdana"/>
      <w:sz w:val="16"/>
    </w:rPr>
  </w:style>
  <w:style w:type="paragraph" w:styleId="Sidfot">
    <w:name w:val="footer"/>
    <w:basedOn w:val="Normal"/>
    <w:rsid w:val="00F924BB"/>
    <w:pPr>
      <w:tabs>
        <w:tab w:val="center" w:pos="4536"/>
        <w:tab w:val="right" w:pos="9072"/>
      </w:tabs>
    </w:pPr>
  </w:style>
  <w:style w:type="paragraph" w:customStyle="1" w:styleId="UmURubrik1">
    <w:name w:val="UmU Rubrik1"/>
    <w:basedOn w:val="Normal"/>
    <w:next w:val="UmUNormal"/>
    <w:rsid w:val="00F924BB"/>
    <w:pPr>
      <w:spacing w:after="260" w:line="360" w:lineRule="exact"/>
    </w:pPr>
    <w:rPr>
      <w:sz w:val="32"/>
    </w:rPr>
  </w:style>
  <w:style w:type="paragraph" w:customStyle="1" w:styleId="UmUNormal">
    <w:name w:val="UmU Normal"/>
    <w:basedOn w:val="Normal"/>
    <w:qFormat/>
    <w:rsid w:val="00F924BB"/>
    <w:pPr>
      <w:spacing w:after="260" w:line="260" w:lineRule="exact"/>
    </w:pPr>
    <w:rPr>
      <w:sz w:val="20"/>
    </w:rPr>
  </w:style>
  <w:style w:type="paragraph" w:customStyle="1" w:styleId="UmURubrik2">
    <w:name w:val="UmU Rubrik2"/>
    <w:basedOn w:val="Normal"/>
    <w:next w:val="UmUNormal"/>
    <w:rsid w:val="00F924BB"/>
    <w:pPr>
      <w:spacing w:before="520" w:after="0" w:line="260" w:lineRule="exact"/>
    </w:pPr>
    <w:rPr>
      <w:b/>
      <w:sz w:val="22"/>
    </w:rPr>
  </w:style>
  <w:style w:type="paragraph" w:customStyle="1" w:styleId="UmURubrik3">
    <w:name w:val="UmU Rubrik3"/>
    <w:basedOn w:val="Normal"/>
    <w:next w:val="UmUNormal"/>
    <w:qFormat/>
    <w:rsid w:val="00F924BB"/>
    <w:pPr>
      <w:spacing w:before="260" w:after="0" w:line="260" w:lineRule="exact"/>
    </w:pPr>
    <w:rPr>
      <w:b/>
      <w:i/>
      <w:sz w:val="20"/>
    </w:rPr>
  </w:style>
  <w:style w:type="paragraph" w:customStyle="1" w:styleId="UmURubrik4">
    <w:name w:val="UmU Rubrik4"/>
    <w:basedOn w:val="Normal"/>
    <w:next w:val="UmUNormal"/>
    <w:rsid w:val="00F924BB"/>
    <w:pPr>
      <w:spacing w:before="260" w:after="0" w:line="260" w:lineRule="exact"/>
    </w:pPr>
    <w:rPr>
      <w:i/>
      <w:sz w:val="20"/>
    </w:rPr>
  </w:style>
  <w:style w:type="paragraph" w:customStyle="1" w:styleId="UmUSidhuvud">
    <w:name w:val="UmU Sidhuvud"/>
    <w:basedOn w:val="Sidhuvud"/>
    <w:rsid w:val="00F924BB"/>
    <w:pPr>
      <w:spacing w:after="0" w:line="200" w:lineRule="exact"/>
    </w:pPr>
  </w:style>
  <w:style w:type="paragraph" w:customStyle="1" w:styleId="UmUTabellrubrik">
    <w:name w:val="UmU Tabellrubrik"/>
    <w:basedOn w:val="UmUNormal"/>
    <w:rsid w:val="00F924BB"/>
    <w:pPr>
      <w:spacing w:after="120"/>
    </w:pPr>
    <w:rPr>
      <w:b/>
      <w:i/>
    </w:rPr>
  </w:style>
  <w:style w:type="paragraph" w:customStyle="1" w:styleId="UmUTabellfrklaring">
    <w:name w:val="UmU Tabellförklaring"/>
    <w:basedOn w:val="UmUNormal"/>
    <w:next w:val="UmUNormal"/>
    <w:rsid w:val="00F924BB"/>
    <w:pPr>
      <w:spacing w:before="120"/>
    </w:pPr>
  </w:style>
  <w:style w:type="paragraph" w:customStyle="1" w:styleId="UmUTabelltext">
    <w:name w:val="UmU Tabelltext"/>
    <w:basedOn w:val="UmUNormal"/>
    <w:rsid w:val="00F924BB"/>
    <w:pPr>
      <w:spacing w:after="0" w:line="240" w:lineRule="exact"/>
      <w:ind w:left="170"/>
    </w:pPr>
    <w:rPr>
      <w:rFonts w:ascii="Verdana" w:hAnsi="Verdana"/>
      <w:sz w:val="18"/>
    </w:rPr>
  </w:style>
  <w:style w:type="paragraph" w:customStyle="1" w:styleId="TableContents">
    <w:name w:val="Table Contents"/>
    <w:basedOn w:val="Normal"/>
    <w:rsid w:val="00F924BB"/>
    <w:pPr>
      <w:suppressLineNumbers/>
    </w:pPr>
  </w:style>
  <w:style w:type="paragraph" w:customStyle="1" w:styleId="TableHeading">
    <w:name w:val="Table Heading"/>
    <w:basedOn w:val="TableContents"/>
    <w:rsid w:val="00F924BB"/>
    <w:pPr>
      <w:jc w:val="center"/>
    </w:pPr>
    <w:rPr>
      <w:b/>
      <w:bCs/>
    </w:rPr>
  </w:style>
  <w:style w:type="paragraph" w:customStyle="1" w:styleId="Brdtextmedindrag31">
    <w:name w:val="Brödtext med indrag 31"/>
    <w:basedOn w:val="Normal"/>
    <w:rsid w:val="00F924BB"/>
    <w:pPr>
      <w:overflowPunct w:val="0"/>
      <w:spacing w:before="120" w:after="120" w:line="240" w:lineRule="atLeast"/>
      <w:ind w:left="283"/>
    </w:pPr>
    <w:rPr>
      <w:rFonts w:ascii="Arial" w:eastAsia="Times New Roman" w:hAnsi="Arial" w:cs="Times New Roman"/>
      <w:sz w:val="16"/>
      <w:szCs w:val="16"/>
    </w:rPr>
  </w:style>
  <w:style w:type="paragraph" w:customStyle="1" w:styleId="Text">
    <w:name w:val="Text"/>
    <w:basedOn w:val="Normal"/>
    <w:rsid w:val="005C502F"/>
    <w:pPr>
      <w:widowControl/>
      <w:suppressAutoHyphens w:val="0"/>
      <w:spacing w:after="0"/>
    </w:pPr>
    <w:rPr>
      <w:rFonts w:ascii="Times" w:eastAsia="Times New Roman" w:hAnsi="Times" w:cs="Times New Roman"/>
      <w:szCs w:val="20"/>
      <w:lang w:eastAsia="sv-SE"/>
    </w:rPr>
  </w:style>
  <w:style w:type="character" w:customStyle="1" w:styleId="Rubrik3Char">
    <w:name w:val="Rubrik 3 Char"/>
    <w:link w:val="Rubrik3"/>
    <w:uiPriority w:val="9"/>
    <w:semiHidden/>
    <w:rsid w:val="001D77B4"/>
    <w:rPr>
      <w:rFonts w:ascii="Cambria" w:eastAsia="Times New Roman" w:hAnsi="Cambria" w:cs="Times New Roman"/>
      <w:b/>
      <w:bCs/>
      <w:color w:val="4F81BD"/>
      <w:sz w:val="24"/>
      <w:szCs w:val="24"/>
    </w:rPr>
  </w:style>
  <w:style w:type="paragraph" w:customStyle="1" w:styleId="Default">
    <w:name w:val="Default"/>
    <w:rsid w:val="001D77B4"/>
    <w:pPr>
      <w:autoSpaceDE w:val="0"/>
      <w:autoSpaceDN w:val="0"/>
      <w:adjustRightInd w:val="0"/>
    </w:pPr>
    <w:rPr>
      <w:rFonts w:ascii="Georgia" w:hAnsi="Georgia" w:cs="Georgia"/>
      <w:color w:val="000000"/>
      <w:sz w:val="24"/>
      <w:szCs w:val="24"/>
    </w:rPr>
  </w:style>
  <w:style w:type="character" w:styleId="Kommentarsreferens">
    <w:name w:val="annotation reference"/>
    <w:uiPriority w:val="99"/>
    <w:semiHidden/>
    <w:unhideWhenUsed/>
    <w:rsid w:val="00F52D41"/>
    <w:rPr>
      <w:sz w:val="18"/>
      <w:szCs w:val="18"/>
    </w:rPr>
  </w:style>
  <w:style w:type="paragraph" w:styleId="Kommentarer">
    <w:name w:val="annotation text"/>
    <w:basedOn w:val="Normal"/>
    <w:link w:val="KommentarerChar"/>
    <w:uiPriority w:val="99"/>
    <w:semiHidden/>
    <w:unhideWhenUsed/>
    <w:rsid w:val="00F52D41"/>
  </w:style>
  <w:style w:type="character" w:customStyle="1" w:styleId="KommentarerChar">
    <w:name w:val="Kommentarer Char"/>
    <w:link w:val="Kommentarer"/>
    <w:uiPriority w:val="99"/>
    <w:semiHidden/>
    <w:rsid w:val="00F52D41"/>
    <w:rPr>
      <w:rFonts w:ascii="Georgia" w:eastAsia="Cambria" w:hAnsi="Georgia" w:cs="Cambria"/>
      <w:sz w:val="24"/>
      <w:szCs w:val="24"/>
      <w:lang w:eastAsia="ar-SA"/>
    </w:rPr>
  </w:style>
  <w:style w:type="paragraph" w:styleId="Kommentarsmne">
    <w:name w:val="annotation subject"/>
    <w:basedOn w:val="Kommentarer"/>
    <w:next w:val="Kommentarer"/>
    <w:link w:val="KommentarsmneChar"/>
    <w:uiPriority w:val="99"/>
    <w:semiHidden/>
    <w:unhideWhenUsed/>
    <w:rsid w:val="00F52D41"/>
    <w:rPr>
      <w:b/>
      <w:bCs/>
      <w:sz w:val="20"/>
      <w:szCs w:val="20"/>
    </w:rPr>
  </w:style>
  <w:style w:type="character" w:customStyle="1" w:styleId="KommentarsmneChar">
    <w:name w:val="Kommentarsämne Char"/>
    <w:link w:val="Kommentarsmne"/>
    <w:uiPriority w:val="99"/>
    <w:semiHidden/>
    <w:rsid w:val="00F52D41"/>
    <w:rPr>
      <w:rFonts w:ascii="Georgia" w:eastAsia="Cambria" w:hAnsi="Georgia" w:cs="Cambria"/>
      <w:b/>
      <w:bCs/>
      <w:sz w:val="24"/>
      <w:szCs w:val="24"/>
      <w:lang w:eastAsia="ar-SA"/>
    </w:rPr>
  </w:style>
  <w:style w:type="paragraph" w:styleId="Liststycke">
    <w:name w:val="List Paragraph"/>
    <w:basedOn w:val="Normal"/>
    <w:uiPriority w:val="72"/>
    <w:qFormat/>
    <w:rsid w:val="00AE46AD"/>
    <w:pPr>
      <w:ind w:left="720"/>
      <w:contextualSpacing/>
    </w:pPr>
  </w:style>
  <w:style w:type="table" w:customStyle="1" w:styleId="Tabellrutnt1">
    <w:name w:val="Tabellrutnät1"/>
    <w:basedOn w:val="Normaltabell"/>
    <w:next w:val="Tabellrutnt"/>
    <w:rsid w:val="008A2A0C"/>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8A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C62036"/>
    <w:rPr>
      <w:rFonts w:ascii="Georgia" w:eastAsia="Cambria" w:hAnsi="Georg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662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53">
          <w:marLeft w:val="0"/>
          <w:marRight w:val="0"/>
          <w:marTop w:val="0"/>
          <w:marBottom w:val="0"/>
          <w:divBdr>
            <w:top w:val="none" w:sz="0" w:space="0" w:color="auto"/>
            <w:left w:val="none" w:sz="0" w:space="0" w:color="auto"/>
            <w:bottom w:val="none" w:sz="0" w:space="0" w:color="auto"/>
            <w:right w:val="none" w:sz="0" w:space="0" w:color="auto"/>
          </w:divBdr>
        </w:div>
        <w:div w:id="1391229519">
          <w:marLeft w:val="0"/>
          <w:marRight w:val="0"/>
          <w:marTop w:val="0"/>
          <w:marBottom w:val="0"/>
          <w:divBdr>
            <w:top w:val="none" w:sz="0" w:space="0" w:color="auto"/>
            <w:left w:val="none" w:sz="0" w:space="0" w:color="auto"/>
            <w:bottom w:val="none" w:sz="0" w:space="0" w:color="auto"/>
            <w:right w:val="none" w:sz="0" w:space="0" w:color="auto"/>
          </w:divBdr>
        </w:div>
        <w:div w:id="1188450691">
          <w:marLeft w:val="0"/>
          <w:marRight w:val="0"/>
          <w:marTop w:val="0"/>
          <w:marBottom w:val="0"/>
          <w:divBdr>
            <w:top w:val="none" w:sz="0" w:space="0" w:color="auto"/>
            <w:left w:val="none" w:sz="0" w:space="0" w:color="auto"/>
            <w:bottom w:val="none" w:sz="0" w:space="0" w:color="auto"/>
            <w:right w:val="none" w:sz="0" w:space="0" w:color="auto"/>
          </w:divBdr>
        </w:div>
      </w:divsChild>
    </w:div>
    <w:div w:id="1474330351">
      <w:bodyDiv w:val="1"/>
      <w:marLeft w:val="0"/>
      <w:marRight w:val="0"/>
      <w:marTop w:val="0"/>
      <w:marBottom w:val="0"/>
      <w:divBdr>
        <w:top w:val="none" w:sz="0" w:space="0" w:color="auto"/>
        <w:left w:val="none" w:sz="0" w:space="0" w:color="auto"/>
        <w:bottom w:val="none" w:sz="0" w:space="0" w:color="auto"/>
        <w:right w:val="none" w:sz="0" w:space="0" w:color="auto"/>
      </w:divBdr>
      <w:divsChild>
        <w:div w:id="1843353990">
          <w:marLeft w:val="0"/>
          <w:marRight w:val="0"/>
          <w:marTop w:val="0"/>
          <w:marBottom w:val="0"/>
          <w:divBdr>
            <w:top w:val="none" w:sz="0" w:space="0" w:color="auto"/>
            <w:left w:val="none" w:sz="0" w:space="0" w:color="auto"/>
            <w:bottom w:val="none" w:sz="0" w:space="0" w:color="auto"/>
            <w:right w:val="none" w:sz="0" w:space="0" w:color="auto"/>
          </w:divBdr>
        </w:div>
        <w:div w:id="99299190">
          <w:marLeft w:val="0"/>
          <w:marRight w:val="0"/>
          <w:marTop w:val="0"/>
          <w:marBottom w:val="0"/>
          <w:divBdr>
            <w:top w:val="none" w:sz="0" w:space="0" w:color="auto"/>
            <w:left w:val="none" w:sz="0" w:space="0" w:color="auto"/>
            <w:bottom w:val="none" w:sz="0" w:space="0" w:color="auto"/>
            <w:right w:val="none" w:sz="0" w:space="0" w:color="auto"/>
          </w:divBdr>
        </w:div>
      </w:divsChild>
    </w:div>
    <w:div w:id="1535725803">
      <w:bodyDiv w:val="1"/>
      <w:marLeft w:val="0"/>
      <w:marRight w:val="0"/>
      <w:marTop w:val="0"/>
      <w:marBottom w:val="0"/>
      <w:divBdr>
        <w:top w:val="none" w:sz="0" w:space="0" w:color="auto"/>
        <w:left w:val="none" w:sz="0" w:space="0" w:color="auto"/>
        <w:bottom w:val="none" w:sz="0" w:space="0" w:color="auto"/>
        <w:right w:val="none" w:sz="0" w:space="0" w:color="auto"/>
      </w:divBdr>
      <w:divsChild>
        <w:div w:id="1949042744">
          <w:marLeft w:val="0"/>
          <w:marRight w:val="0"/>
          <w:marTop w:val="0"/>
          <w:marBottom w:val="0"/>
          <w:divBdr>
            <w:top w:val="none" w:sz="0" w:space="0" w:color="auto"/>
            <w:left w:val="none" w:sz="0" w:space="0" w:color="auto"/>
            <w:bottom w:val="none" w:sz="0" w:space="0" w:color="auto"/>
            <w:right w:val="none" w:sz="0" w:space="0" w:color="auto"/>
          </w:divBdr>
        </w:div>
        <w:div w:id="1183517681">
          <w:marLeft w:val="0"/>
          <w:marRight w:val="0"/>
          <w:marTop w:val="0"/>
          <w:marBottom w:val="0"/>
          <w:divBdr>
            <w:top w:val="none" w:sz="0" w:space="0" w:color="auto"/>
            <w:left w:val="none" w:sz="0" w:space="0" w:color="auto"/>
            <w:bottom w:val="none" w:sz="0" w:space="0" w:color="auto"/>
            <w:right w:val="none" w:sz="0" w:space="0" w:color="auto"/>
          </w:divBdr>
        </w:div>
        <w:div w:id="383338173">
          <w:marLeft w:val="0"/>
          <w:marRight w:val="0"/>
          <w:marTop w:val="0"/>
          <w:marBottom w:val="0"/>
          <w:divBdr>
            <w:top w:val="none" w:sz="0" w:space="0" w:color="auto"/>
            <w:left w:val="none" w:sz="0" w:space="0" w:color="auto"/>
            <w:bottom w:val="none" w:sz="0" w:space="0" w:color="auto"/>
            <w:right w:val="none" w:sz="0" w:space="0" w:color="auto"/>
          </w:divBdr>
        </w:div>
      </w:divsChild>
    </w:div>
    <w:div w:id="1673751171">
      <w:bodyDiv w:val="1"/>
      <w:marLeft w:val="0"/>
      <w:marRight w:val="0"/>
      <w:marTop w:val="0"/>
      <w:marBottom w:val="0"/>
      <w:divBdr>
        <w:top w:val="none" w:sz="0" w:space="0" w:color="auto"/>
        <w:left w:val="none" w:sz="0" w:space="0" w:color="auto"/>
        <w:bottom w:val="none" w:sz="0" w:space="0" w:color="auto"/>
        <w:right w:val="none" w:sz="0" w:space="0" w:color="auto"/>
      </w:divBdr>
      <w:divsChild>
        <w:div w:id="1605378482">
          <w:marLeft w:val="0"/>
          <w:marRight w:val="0"/>
          <w:marTop w:val="0"/>
          <w:marBottom w:val="0"/>
          <w:divBdr>
            <w:top w:val="none" w:sz="0" w:space="0" w:color="auto"/>
            <w:left w:val="none" w:sz="0" w:space="0" w:color="auto"/>
            <w:bottom w:val="none" w:sz="0" w:space="0" w:color="auto"/>
            <w:right w:val="none" w:sz="0" w:space="0" w:color="auto"/>
          </w:divBdr>
        </w:div>
        <w:div w:id="799539443">
          <w:marLeft w:val="0"/>
          <w:marRight w:val="0"/>
          <w:marTop w:val="0"/>
          <w:marBottom w:val="0"/>
          <w:divBdr>
            <w:top w:val="none" w:sz="0" w:space="0" w:color="auto"/>
            <w:left w:val="none" w:sz="0" w:space="0" w:color="auto"/>
            <w:bottom w:val="none" w:sz="0" w:space="0" w:color="auto"/>
            <w:right w:val="none" w:sz="0" w:space="0" w:color="auto"/>
          </w:divBdr>
        </w:div>
      </w:divsChild>
    </w:div>
    <w:div w:id="1761372557">
      <w:bodyDiv w:val="1"/>
      <w:marLeft w:val="0"/>
      <w:marRight w:val="0"/>
      <w:marTop w:val="0"/>
      <w:marBottom w:val="0"/>
      <w:divBdr>
        <w:top w:val="none" w:sz="0" w:space="0" w:color="auto"/>
        <w:left w:val="none" w:sz="0" w:space="0" w:color="auto"/>
        <w:bottom w:val="none" w:sz="0" w:space="0" w:color="auto"/>
        <w:right w:val="none" w:sz="0" w:space="0" w:color="auto"/>
      </w:divBdr>
      <w:divsChild>
        <w:div w:id="1399741297">
          <w:marLeft w:val="0"/>
          <w:marRight w:val="0"/>
          <w:marTop w:val="0"/>
          <w:marBottom w:val="0"/>
          <w:divBdr>
            <w:top w:val="none" w:sz="0" w:space="0" w:color="auto"/>
            <w:left w:val="none" w:sz="0" w:space="0" w:color="auto"/>
            <w:bottom w:val="none" w:sz="0" w:space="0" w:color="auto"/>
            <w:right w:val="none" w:sz="0" w:space="0" w:color="auto"/>
          </w:divBdr>
        </w:div>
        <w:div w:id="783960742">
          <w:marLeft w:val="0"/>
          <w:marRight w:val="0"/>
          <w:marTop w:val="0"/>
          <w:marBottom w:val="0"/>
          <w:divBdr>
            <w:top w:val="none" w:sz="0" w:space="0" w:color="auto"/>
            <w:left w:val="none" w:sz="0" w:space="0" w:color="auto"/>
            <w:bottom w:val="none" w:sz="0" w:space="0" w:color="auto"/>
            <w:right w:val="none" w:sz="0" w:space="0" w:color="auto"/>
          </w:divBdr>
        </w:div>
        <w:div w:id="1860124641">
          <w:marLeft w:val="0"/>
          <w:marRight w:val="0"/>
          <w:marTop w:val="0"/>
          <w:marBottom w:val="0"/>
          <w:divBdr>
            <w:top w:val="none" w:sz="0" w:space="0" w:color="auto"/>
            <w:left w:val="none" w:sz="0" w:space="0" w:color="auto"/>
            <w:bottom w:val="none" w:sz="0" w:space="0" w:color="auto"/>
            <w:right w:val="none" w:sz="0" w:space="0" w:color="auto"/>
          </w:divBdr>
        </w:div>
        <w:div w:id="949891817">
          <w:marLeft w:val="0"/>
          <w:marRight w:val="0"/>
          <w:marTop w:val="0"/>
          <w:marBottom w:val="0"/>
          <w:divBdr>
            <w:top w:val="none" w:sz="0" w:space="0" w:color="auto"/>
            <w:left w:val="none" w:sz="0" w:space="0" w:color="auto"/>
            <w:bottom w:val="none" w:sz="0" w:space="0" w:color="auto"/>
            <w:right w:val="none" w:sz="0" w:space="0" w:color="auto"/>
          </w:divBdr>
        </w:div>
        <w:div w:id="582423084">
          <w:marLeft w:val="0"/>
          <w:marRight w:val="0"/>
          <w:marTop w:val="0"/>
          <w:marBottom w:val="0"/>
          <w:divBdr>
            <w:top w:val="none" w:sz="0" w:space="0" w:color="auto"/>
            <w:left w:val="none" w:sz="0" w:space="0" w:color="auto"/>
            <w:bottom w:val="none" w:sz="0" w:space="0" w:color="auto"/>
            <w:right w:val="none" w:sz="0" w:space="0" w:color="auto"/>
          </w:divBdr>
        </w:div>
        <w:div w:id="481432650">
          <w:marLeft w:val="0"/>
          <w:marRight w:val="0"/>
          <w:marTop w:val="0"/>
          <w:marBottom w:val="0"/>
          <w:divBdr>
            <w:top w:val="none" w:sz="0" w:space="0" w:color="auto"/>
            <w:left w:val="none" w:sz="0" w:space="0" w:color="auto"/>
            <w:bottom w:val="none" w:sz="0" w:space="0" w:color="auto"/>
            <w:right w:val="none" w:sz="0" w:space="0" w:color="auto"/>
          </w:divBdr>
        </w:div>
      </w:divsChild>
    </w:div>
    <w:div w:id="1833838585">
      <w:bodyDiv w:val="1"/>
      <w:marLeft w:val="0"/>
      <w:marRight w:val="0"/>
      <w:marTop w:val="0"/>
      <w:marBottom w:val="0"/>
      <w:divBdr>
        <w:top w:val="none" w:sz="0" w:space="0" w:color="auto"/>
        <w:left w:val="none" w:sz="0" w:space="0" w:color="auto"/>
        <w:bottom w:val="none" w:sz="0" w:space="0" w:color="auto"/>
        <w:right w:val="none" w:sz="0" w:space="0" w:color="auto"/>
      </w:divBdr>
      <w:divsChild>
        <w:div w:id="1890260486">
          <w:marLeft w:val="0"/>
          <w:marRight w:val="0"/>
          <w:marTop w:val="0"/>
          <w:marBottom w:val="0"/>
          <w:divBdr>
            <w:top w:val="none" w:sz="0" w:space="0" w:color="auto"/>
            <w:left w:val="none" w:sz="0" w:space="0" w:color="auto"/>
            <w:bottom w:val="none" w:sz="0" w:space="0" w:color="auto"/>
            <w:right w:val="none" w:sz="0" w:space="0" w:color="auto"/>
          </w:divBdr>
        </w:div>
        <w:div w:id="1833445742">
          <w:marLeft w:val="0"/>
          <w:marRight w:val="0"/>
          <w:marTop w:val="0"/>
          <w:marBottom w:val="0"/>
          <w:divBdr>
            <w:top w:val="none" w:sz="0" w:space="0" w:color="auto"/>
            <w:left w:val="none" w:sz="0" w:space="0" w:color="auto"/>
            <w:bottom w:val="none" w:sz="0" w:space="0" w:color="auto"/>
            <w:right w:val="none" w:sz="0" w:space="0" w:color="auto"/>
          </w:divBdr>
        </w:div>
      </w:divsChild>
    </w:div>
    <w:div w:id="1986081265">
      <w:bodyDiv w:val="1"/>
      <w:marLeft w:val="0"/>
      <w:marRight w:val="0"/>
      <w:marTop w:val="0"/>
      <w:marBottom w:val="0"/>
      <w:divBdr>
        <w:top w:val="none" w:sz="0" w:space="0" w:color="auto"/>
        <w:left w:val="none" w:sz="0" w:space="0" w:color="auto"/>
        <w:bottom w:val="none" w:sz="0" w:space="0" w:color="auto"/>
        <w:right w:val="none" w:sz="0" w:space="0" w:color="auto"/>
      </w:divBdr>
      <w:divsChild>
        <w:div w:id="560604738">
          <w:marLeft w:val="0"/>
          <w:marRight w:val="0"/>
          <w:marTop w:val="0"/>
          <w:marBottom w:val="0"/>
          <w:divBdr>
            <w:top w:val="none" w:sz="0" w:space="0" w:color="auto"/>
            <w:left w:val="none" w:sz="0" w:space="0" w:color="auto"/>
            <w:bottom w:val="none" w:sz="0" w:space="0" w:color="auto"/>
            <w:right w:val="none" w:sz="0" w:space="0" w:color="auto"/>
          </w:divBdr>
        </w:div>
        <w:div w:id="879980522">
          <w:marLeft w:val="0"/>
          <w:marRight w:val="0"/>
          <w:marTop w:val="0"/>
          <w:marBottom w:val="0"/>
          <w:divBdr>
            <w:top w:val="none" w:sz="0" w:space="0" w:color="auto"/>
            <w:left w:val="none" w:sz="0" w:space="0" w:color="auto"/>
            <w:bottom w:val="none" w:sz="0" w:space="0" w:color="auto"/>
            <w:right w:val="none" w:sz="0" w:space="0" w:color="auto"/>
          </w:divBdr>
        </w:div>
        <w:div w:id="426342087">
          <w:marLeft w:val="0"/>
          <w:marRight w:val="0"/>
          <w:marTop w:val="0"/>
          <w:marBottom w:val="0"/>
          <w:divBdr>
            <w:top w:val="none" w:sz="0" w:space="0" w:color="auto"/>
            <w:left w:val="none" w:sz="0" w:space="0" w:color="auto"/>
            <w:bottom w:val="none" w:sz="0" w:space="0" w:color="auto"/>
            <w:right w:val="none" w:sz="0" w:space="0" w:color="auto"/>
          </w:divBdr>
        </w:div>
        <w:div w:id="1793400094">
          <w:marLeft w:val="0"/>
          <w:marRight w:val="0"/>
          <w:marTop w:val="0"/>
          <w:marBottom w:val="0"/>
          <w:divBdr>
            <w:top w:val="none" w:sz="0" w:space="0" w:color="auto"/>
            <w:left w:val="none" w:sz="0" w:space="0" w:color="auto"/>
            <w:bottom w:val="none" w:sz="0" w:space="0" w:color="auto"/>
            <w:right w:val="none" w:sz="0" w:space="0" w:color="auto"/>
          </w:divBdr>
        </w:div>
        <w:div w:id="595795846">
          <w:marLeft w:val="0"/>
          <w:marRight w:val="0"/>
          <w:marTop w:val="0"/>
          <w:marBottom w:val="0"/>
          <w:divBdr>
            <w:top w:val="none" w:sz="0" w:space="0" w:color="auto"/>
            <w:left w:val="none" w:sz="0" w:space="0" w:color="auto"/>
            <w:bottom w:val="none" w:sz="0" w:space="0" w:color="auto"/>
            <w:right w:val="none" w:sz="0" w:space="0" w:color="auto"/>
          </w:divBdr>
        </w:div>
      </w:divsChild>
    </w:div>
    <w:div w:id="2069765370">
      <w:bodyDiv w:val="1"/>
      <w:marLeft w:val="0"/>
      <w:marRight w:val="0"/>
      <w:marTop w:val="0"/>
      <w:marBottom w:val="0"/>
      <w:divBdr>
        <w:top w:val="none" w:sz="0" w:space="0" w:color="auto"/>
        <w:left w:val="none" w:sz="0" w:space="0" w:color="auto"/>
        <w:bottom w:val="none" w:sz="0" w:space="0" w:color="auto"/>
        <w:right w:val="none" w:sz="0" w:space="0" w:color="auto"/>
      </w:divBdr>
      <w:divsChild>
        <w:div w:id="1504202341">
          <w:marLeft w:val="0"/>
          <w:marRight w:val="0"/>
          <w:marTop w:val="0"/>
          <w:marBottom w:val="0"/>
          <w:divBdr>
            <w:top w:val="none" w:sz="0" w:space="0" w:color="auto"/>
            <w:left w:val="none" w:sz="0" w:space="0" w:color="auto"/>
            <w:bottom w:val="none" w:sz="0" w:space="0" w:color="auto"/>
            <w:right w:val="none" w:sz="0" w:space="0" w:color="auto"/>
          </w:divBdr>
        </w:div>
        <w:div w:id="627859656">
          <w:marLeft w:val="0"/>
          <w:marRight w:val="0"/>
          <w:marTop w:val="0"/>
          <w:marBottom w:val="0"/>
          <w:divBdr>
            <w:top w:val="none" w:sz="0" w:space="0" w:color="auto"/>
            <w:left w:val="none" w:sz="0" w:space="0" w:color="auto"/>
            <w:bottom w:val="none" w:sz="0" w:space="0" w:color="auto"/>
            <w:right w:val="none" w:sz="0" w:space="0" w:color="auto"/>
          </w:divBdr>
        </w:div>
        <w:div w:id="394560">
          <w:marLeft w:val="0"/>
          <w:marRight w:val="0"/>
          <w:marTop w:val="0"/>
          <w:marBottom w:val="0"/>
          <w:divBdr>
            <w:top w:val="none" w:sz="0" w:space="0" w:color="auto"/>
            <w:left w:val="none" w:sz="0" w:space="0" w:color="auto"/>
            <w:bottom w:val="none" w:sz="0" w:space="0" w:color="auto"/>
            <w:right w:val="none" w:sz="0" w:space="0" w:color="auto"/>
          </w:divBdr>
        </w:div>
        <w:div w:id="17966343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831C-D732-434A-A533-8140027E0EE2}">
  <ds:schemaRefs>
    <ds:schemaRef ds:uri="http://schemas.openxmlformats.org/officeDocument/2006/bibliography"/>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9314</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11049</CharactersWithSpaces>
  <SharedDoc>false</SharedDoc>
  <HLinks>
    <vt:vector size="18" baseType="variant">
      <vt:variant>
        <vt:i4>3473431</vt:i4>
      </vt:variant>
      <vt:variant>
        <vt:i4>6</vt:i4>
      </vt:variant>
      <vt:variant>
        <vt:i4>0</vt:i4>
      </vt:variant>
      <vt:variant>
        <vt:i4>5</vt:i4>
      </vt:variant>
      <vt:variant>
        <vt:lpwstr>http://www.umu.se/DownloadProtectedAsset.action?siteNodeId=25321&amp;contentId=69980&amp;languageId=1&amp;assetKey=Bro_2005674_fusk</vt:lpwstr>
      </vt:variant>
      <vt:variant>
        <vt:lpwstr/>
      </vt:variant>
      <vt:variant>
        <vt:i4>7471174</vt:i4>
      </vt:variant>
      <vt:variant>
        <vt:i4>3</vt:i4>
      </vt:variant>
      <vt:variant>
        <vt:i4>0</vt:i4>
      </vt:variant>
      <vt:variant>
        <vt:i4>5</vt:i4>
      </vt:variant>
      <vt:variant>
        <vt:lpwstr>http://www.student.umu.se/examen/tillgodoraknanden/</vt:lpwstr>
      </vt:variant>
      <vt:variant>
        <vt:lpwstr/>
      </vt:variant>
      <vt:variant>
        <vt:i4>1769477</vt:i4>
      </vt:variant>
      <vt:variant>
        <vt:i4>0</vt:i4>
      </vt:variant>
      <vt:variant>
        <vt:i4>0</vt:i4>
      </vt:variant>
      <vt:variant>
        <vt:i4>5</vt:i4>
      </vt:variant>
      <vt:variant>
        <vt:lpwstr>http://www.umu.se/studentcentrum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2023-03-23T08:12:00Z</dcterms:created>
  <dcterms:modified xsi:type="dcterms:W3CDTF">2023-03-23T08:21:00Z</dcterms:modified>
</cp:coreProperties>
</file>