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6478D" w:rsidRPr="0096478D" w:rsidTr="0096478D">
        <w:tc>
          <w:tcPr>
            <w:tcW w:w="2500" w:type="pct"/>
          </w:tcPr>
          <w:p w:rsidR="0096478D" w:rsidRPr="0096478D" w:rsidRDefault="00587B48" w:rsidP="0096478D">
            <w:pPr>
              <w:pStyle w:val="Style1"/>
              <w:widowControl/>
              <w:ind w:left="-170"/>
              <w:rPr>
                <w:rStyle w:val="FontStyle11"/>
                <w:rFonts w:ascii="Arial" w:hAnsi="Arial" w:cs="Arial"/>
                <w:sz w:val="20"/>
              </w:rPr>
            </w:pPr>
            <w:bookmarkStart w:id="0" w:name="_GoBack"/>
            <w:bookmarkEnd w:id="0"/>
            <w:r>
              <w:rPr>
                <w:rStyle w:val="FontStyle11"/>
                <w:rFonts w:ascii="Arial" w:hAnsi="Arial" w:cs="Arial"/>
                <w:noProof/>
                <w:sz w:val="20"/>
                <w:lang w:val="sv-SE" w:eastAsia="sv-SE" w:bidi="ar-SA"/>
              </w:rPr>
              <w:drawing>
                <wp:inline distT="0" distB="0" distL="0" distR="0">
                  <wp:extent cx="789903" cy="768096"/>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89826" cy="768021"/>
                          </a:xfrm>
                          <a:prstGeom prst="rect">
                            <a:avLst/>
                          </a:prstGeom>
                          <a:noFill/>
                          <a:ln w="9525">
                            <a:noFill/>
                            <a:miter lim="800000"/>
                            <a:headEnd/>
                            <a:tailEnd/>
                          </a:ln>
                        </pic:spPr>
                      </pic:pic>
                    </a:graphicData>
                  </a:graphic>
                </wp:inline>
              </w:drawing>
            </w:r>
          </w:p>
        </w:tc>
        <w:tc>
          <w:tcPr>
            <w:tcW w:w="2500" w:type="pct"/>
            <w:vAlign w:val="bottom"/>
          </w:tcPr>
          <w:p w:rsidR="0096478D" w:rsidRPr="0096478D" w:rsidRDefault="0096478D" w:rsidP="0096478D">
            <w:pPr>
              <w:pStyle w:val="Style1"/>
              <w:widowControl/>
              <w:jc w:val="right"/>
              <w:rPr>
                <w:rStyle w:val="FontStyle11"/>
                <w:rFonts w:ascii="Arial" w:hAnsi="Arial" w:cs="Arial"/>
                <w:sz w:val="20"/>
              </w:rPr>
            </w:pPr>
            <w:r>
              <w:rPr>
                <w:rStyle w:val="FontStyle11"/>
                <w:rFonts w:ascii="Arial" w:hAnsi="Arial"/>
                <w:sz w:val="20"/>
              </w:rPr>
              <w:t>01/10/2014</w:t>
            </w:r>
          </w:p>
        </w:tc>
      </w:tr>
    </w:tbl>
    <w:p w:rsidR="0096478D" w:rsidRPr="00587B48" w:rsidRDefault="0096478D" w:rsidP="00587B48">
      <w:pPr>
        <w:rPr>
          <w:sz w:val="20"/>
        </w:rPr>
      </w:pPr>
    </w:p>
    <w:p w:rsidR="0096478D" w:rsidRPr="0096478D" w:rsidRDefault="0096478D" w:rsidP="0096478D">
      <w:pPr>
        <w:pStyle w:val="Style2"/>
        <w:widowControl/>
        <w:rPr>
          <w:rStyle w:val="FontStyle12"/>
          <w:sz w:val="28"/>
        </w:rPr>
      </w:pPr>
      <w:r>
        <w:rPr>
          <w:rStyle w:val="FontStyle12"/>
          <w:sz w:val="28"/>
        </w:rPr>
        <w:t>Safety level for gas facilities and handling gas at Umeå University</w:t>
      </w:r>
    </w:p>
    <w:p w:rsidR="0096478D" w:rsidRDefault="0096478D" w:rsidP="0096478D">
      <w:pPr>
        <w:pStyle w:val="Style3"/>
        <w:widowControl/>
        <w:rPr>
          <w:rStyle w:val="FontStyle13"/>
          <w:sz w:val="24"/>
        </w:rPr>
      </w:pPr>
    </w:p>
    <w:p w:rsidR="0096478D" w:rsidRPr="00BB685D" w:rsidRDefault="0096478D" w:rsidP="0096478D">
      <w:pPr>
        <w:pStyle w:val="Style3"/>
        <w:widowControl/>
        <w:rPr>
          <w:rStyle w:val="FontStyle13"/>
          <w:sz w:val="24"/>
        </w:rPr>
      </w:pPr>
      <w:r>
        <w:rPr>
          <w:rStyle w:val="FontStyle13"/>
          <w:sz w:val="24"/>
        </w:rPr>
        <w:t xml:space="preserve">The university's work with </w:t>
      </w:r>
      <w:r>
        <w:rPr>
          <w:rStyle w:val="FontStyle15"/>
          <w:sz w:val="24"/>
        </w:rPr>
        <w:t xml:space="preserve">flammable products </w:t>
      </w:r>
      <w:r>
        <w:rPr>
          <w:rStyle w:val="FontStyle13"/>
          <w:sz w:val="24"/>
        </w:rPr>
        <w:t>(chemicals, gases) is subject to a range of regulatory requirements, including:</w:t>
      </w:r>
    </w:p>
    <w:p w:rsidR="0096478D" w:rsidRPr="0096478D" w:rsidRDefault="0096478D" w:rsidP="0096478D">
      <w:pPr>
        <w:pStyle w:val="Style6"/>
        <w:widowControl/>
        <w:spacing w:line="276" w:lineRule="auto"/>
        <w:rPr>
          <w:rStyle w:val="FontStyle14"/>
        </w:rPr>
      </w:pPr>
      <w:r>
        <w:rPr>
          <w:rStyle w:val="FontStyle14"/>
        </w:rPr>
        <w:t>•</w:t>
      </w:r>
      <w:r>
        <w:tab/>
      </w:r>
      <w:r>
        <w:rPr>
          <w:rStyle w:val="FontStyle14"/>
        </w:rPr>
        <w:t>Act on the transport of hazardous goods, SFS 2006:263</w:t>
      </w:r>
    </w:p>
    <w:p w:rsidR="0096478D" w:rsidRPr="0096478D" w:rsidRDefault="0096478D" w:rsidP="0096478D">
      <w:pPr>
        <w:pStyle w:val="Style6"/>
        <w:widowControl/>
        <w:spacing w:line="276" w:lineRule="auto"/>
        <w:rPr>
          <w:rStyle w:val="FontStyle14"/>
        </w:rPr>
      </w:pPr>
      <w:r>
        <w:rPr>
          <w:rStyle w:val="FontStyle14"/>
        </w:rPr>
        <w:t>•</w:t>
      </w:r>
      <w:r>
        <w:tab/>
      </w:r>
      <w:r>
        <w:rPr>
          <w:rStyle w:val="FontStyle14"/>
        </w:rPr>
        <w:t>Ordinance on the transport of hazardous goods, SFS 2006:311</w:t>
      </w:r>
    </w:p>
    <w:p w:rsidR="0096478D" w:rsidRPr="0096478D" w:rsidRDefault="0096478D" w:rsidP="0096478D">
      <w:pPr>
        <w:pStyle w:val="Style6"/>
        <w:widowControl/>
        <w:spacing w:line="276" w:lineRule="auto"/>
        <w:rPr>
          <w:rStyle w:val="FontStyle14"/>
        </w:rPr>
      </w:pPr>
      <w:r>
        <w:rPr>
          <w:rStyle w:val="FontStyle14"/>
        </w:rPr>
        <w:t>•</w:t>
      </w:r>
      <w:r>
        <w:tab/>
      </w:r>
      <w:r>
        <w:rPr>
          <w:rStyle w:val="FontStyle14"/>
        </w:rPr>
        <w:t>Act on flammable and explosive goods, SFS 2010:1011</w:t>
      </w:r>
    </w:p>
    <w:p w:rsidR="0096478D" w:rsidRPr="0096478D" w:rsidRDefault="0096478D" w:rsidP="0096478D">
      <w:pPr>
        <w:pStyle w:val="Style6"/>
        <w:widowControl/>
        <w:spacing w:line="276" w:lineRule="auto"/>
        <w:rPr>
          <w:rStyle w:val="FontStyle14"/>
        </w:rPr>
      </w:pPr>
      <w:r>
        <w:rPr>
          <w:rStyle w:val="FontStyle14"/>
        </w:rPr>
        <w:t>•</w:t>
      </w:r>
      <w:r>
        <w:tab/>
      </w:r>
      <w:r>
        <w:rPr>
          <w:rStyle w:val="FontStyle14"/>
        </w:rPr>
        <w:t>Regulation on flammable and explosive goods, SFS 2010:1075</w:t>
      </w:r>
    </w:p>
    <w:p w:rsidR="0096478D" w:rsidRPr="0096478D" w:rsidRDefault="0096478D" w:rsidP="00453B11">
      <w:pPr>
        <w:pStyle w:val="Style6"/>
        <w:widowControl/>
        <w:spacing w:line="276" w:lineRule="auto"/>
        <w:rPr>
          <w:rStyle w:val="FontStyle14"/>
        </w:rPr>
      </w:pPr>
      <w:r>
        <w:rPr>
          <w:rStyle w:val="FontStyle14"/>
        </w:rPr>
        <w:t>•</w:t>
      </w:r>
      <w:r>
        <w:tab/>
      </w:r>
      <w:r>
        <w:rPr>
          <w:rStyle w:val="FontStyle14"/>
        </w:rPr>
        <w:t>Environmental Code 1998:808</w:t>
      </w:r>
    </w:p>
    <w:p w:rsidR="0096478D" w:rsidRPr="0096478D" w:rsidRDefault="0096478D" w:rsidP="00453B11">
      <w:pPr>
        <w:pStyle w:val="Style6"/>
        <w:widowControl/>
        <w:rPr>
          <w:rStyle w:val="FontStyle14"/>
        </w:rPr>
      </w:pPr>
      <w:r>
        <w:rPr>
          <w:rStyle w:val="FontStyle14"/>
        </w:rPr>
        <w:t>•</w:t>
      </w:r>
      <w:r>
        <w:tab/>
      </w:r>
      <w:r>
        <w:rPr>
          <w:rStyle w:val="FontStyle14"/>
        </w:rPr>
        <w:t>Regulation on chemical products and biotechnical organisms, SFS 2008:245</w:t>
      </w:r>
    </w:p>
    <w:p w:rsidR="0096478D" w:rsidRPr="00BB685D" w:rsidRDefault="0096478D" w:rsidP="0096478D">
      <w:pPr>
        <w:pStyle w:val="Style6"/>
        <w:widowControl/>
        <w:rPr>
          <w:rStyle w:val="FontStyle14"/>
          <w:sz w:val="22"/>
        </w:rPr>
      </w:pPr>
    </w:p>
    <w:p w:rsidR="0096478D" w:rsidRPr="00BB685D" w:rsidRDefault="0096478D" w:rsidP="0096478D">
      <w:pPr>
        <w:pStyle w:val="Style3"/>
        <w:widowControl/>
        <w:rPr>
          <w:rStyle w:val="FontStyle13"/>
          <w:sz w:val="24"/>
        </w:rPr>
      </w:pPr>
      <w:r>
        <w:rPr>
          <w:rStyle w:val="FontStyle13"/>
          <w:sz w:val="24"/>
        </w:rPr>
        <w:t xml:space="preserve">Regulations on </w:t>
      </w:r>
      <w:r>
        <w:rPr>
          <w:rStyle w:val="FontStyle15"/>
          <w:sz w:val="24"/>
        </w:rPr>
        <w:t xml:space="preserve">gases </w:t>
      </w:r>
      <w:r>
        <w:rPr>
          <w:rStyle w:val="FontStyle13"/>
          <w:sz w:val="24"/>
        </w:rPr>
        <w:t>can be found in regulations from the Swedish Work Environment Authority:</w:t>
      </w:r>
    </w:p>
    <w:p w:rsidR="0096478D" w:rsidRPr="0096478D" w:rsidRDefault="0096478D" w:rsidP="0096478D">
      <w:pPr>
        <w:pStyle w:val="Style6"/>
        <w:widowControl/>
        <w:spacing w:line="276" w:lineRule="auto"/>
        <w:rPr>
          <w:rStyle w:val="FontStyle14"/>
        </w:rPr>
      </w:pPr>
      <w:r>
        <w:rPr>
          <w:rStyle w:val="FontStyle14"/>
        </w:rPr>
        <w:t>•</w:t>
      </w:r>
      <w:r>
        <w:tab/>
      </w:r>
      <w:r>
        <w:rPr>
          <w:rStyle w:val="FontStyle14"/>
        </w:rPr>
        <w:t>Gases, AFS 1997:7</w:t>
      </w:r>
    </w:p>
    <w:p w:rsidR="0096478D" w:rsidRPr="0096478D" w:rsidRDefault="0096478D" w:rsidP="0096478D">
      <w:pPr>
        <w:pStyle w:val="Style6"/>
        <w:widowControl/>
        <w:spacing w:line="276" w:lineRule="auto"/>
        <w:rPr>
          <w:rStyle w:val="FontStyle14"/>
        </w:rPr>
      </w:pPr>
      <w:r>
        <w:rPr>
          <w:rStyle w:val="FontStyle14"/>
        </w:rPr>
        <w:t>•</w:t>
      </w:r>
      <w:r>
        <w:tab/>
      </w:r>
      <w:r>
        <w:rPr>
          <w:rStyle w:val="FontStyle14"/>
        </w:rPr>
        <w:t>Gas cylinders, AFS 2001:04</w:t>
      </w:r>
    </w:p>
    <w:p w:rsidR="0096478D" w:rsidRPr="0096478D" w:rsidRDefault="0096478D" w:rsidP="0096478D">
      <w:pPr>
        <w:pStyle w:val="Style6"/>
        <w:widowControl/>
        <w:spacing w:line="276" w:lineRule="auto"/>
        <w:rPr>
          <w:rStyle w:val="FontStyle14"/>
        </w:rPr>
      </w:pPr>
      <w:r>
        <w:rPr>
          <w:rStyle w:val="FontStyle14"/>
        </w:rPr>
        <w:t>•</w:t>
      </w:r>
      <w:r>
        <w:tab/>
      </w:r>
      <w:r>
        <w:rPr>
          <w:rStyle w:val="FontStyle14"/>
        </w:rPr>
        <w:t>Use of pressurised devices, AFS 2002:01</w:t>
      </w:r>
    </w:p>
    <w:p w:rsidR="0096478D" w:rsidRDefault="0096478D" w:rsidP="0096478D">
      <w:pPr>
        <w:pStyle w:val="Style3"/>
        <w:widowControl/>
        <w:rPr>
          <w:rStyle w:val="FontStyle13"/>
          <w:sz w:val="24"/>
        </w:rPr>
      </w:pPr>
    </w:p>
    <w:p w:rsidR="0096478D" w:rsidRPr="00BB685D" w:rsidRDefault="0096478D" w:rsidP="0096478D">
      <w:pPr>
        <w:pStyle w:val="Style3"/>
        <w:widowControl/>
        <w:rPr>
          <w:rStyle w:val="FontStyle13"/>
          <w:sz w:val="24"/>
        </w:rPr>
      </w:pPr>
      <w:r>
        <w:rPr>
          <w:rStyle w:val="FontStyle13"/>
          <w:sz w:val="24"/>
        </w:rPr>
        <w:t>Code of Statutes of the Swedish Rescue Services Agency</w:t>
      </w:r>
    </w:p>
    <w:p w:rsidR="0096478D" w:rsidRPr="0096478D" w:rsidRDefault="0096478D" w:rsidP="0096478D">
      <w:pPr>
        <w:pStyle w:val="Style6"/>
        <w:widowControl/>
        <w:spacing w:line="276" w:lineRule="auto"/>
        <w:ind w:right="624"/>
        <w:rPr>
          <w:rStyle w:val="FontStyle14"/>
        </w:rPr>
      </w:pPr>
      <w:r>
        <w:rPr>
          <w:rStyle w:val="FontStyle14"/>
        </w:rPr>
        <w:t>•</w:t>
      </w:r>
      <w:r>
        <w:tab/>
      </w:r>
      <w:r>
        <w:rPr>
          <w:rStyle w:val="FontStyle14"/>
        </w:rPr>
        <w:t>Swedish Rescue Services Agency regulations on explosive environments when handling flammable gases and liquids, SRVFS 2004:7</w:t>
      </w:r>
    </w:p>
    <w:p w:rsidR="0096478D" w:rsidRPr="0096478D" w:rsidRDefault="0096478D" w:rsidP="0096478D">
      <w:pPr>
        <w:pStyle w:val="Style6"/>
        <w:widowControl/>
        <w:ind w:right="624"/>
        <w:rPr>
          <w:rStyle w:val="FontStyle14"/>
        </w:rPr>
      </w:pPr>
      <w:r>
        <w:rPr>
          <w:rStyle w:val="FontStyle14"/>
        </w:rPr>
        <w:t>•</w:t>
      </w:r>
      <w:r>
        <w:tab/>
      </w:r>
      <w:r>
        <w:rPr>
          <w:rStyle w:val="FontStyle14"/>
        </w:rPr>
        <w:t>Flammable gas in loose containers, SÄIFS 2000:3</w:t>
      </w:r>
    </w:p>
    <w:p w:rsidR="0096478D" w:rsidRDefault="0096478D" w:rsidP="0096478D">
      <w:pPr>
        <w:pStyle w:val="Style5"/>
        <w:widowControl/>
        <w:rPr>
          <w:rStyle w:val="FontStyle13"/>
          <w:sz w:val="24"/>
        </w:rPr>
      </w:pPr>
    </w:p>
    <w:p w:rsidR="0096478D" w:rsidRDefault="0096478D" w:rsidP="0096478D">
      <w:pPr>
        <w:pStyle w:val="Style5"/>
        <w:widowControl/>
        <w:ind w:right="794"/>
        <w:rPr>
          <w:rStyle w:val="FontStyle13"/>
          <w:sz w:val="24"/>
        </w:rPr>
      </w:pPr>
      <w:r>
        <w:rPr>
          <w:rStyle w:val="FontStyle13"/>
          <w:sz w:val="24"/>
        </w:rPr>
        <w:t>As a business operator, the university is responsible for ensuring that acceptable levels of safety are achieved and that the requisite expertise is present within the organisation. The objective is to ensure the general technical standard at a specific level in connection with new construction and refurbishments. This should be acceptable even in 15 or 20 years' time.</w:t>
      </w:r>
    </w:p>
    <w:p w:rsidR="0096478D" w:rsidRPr="00BB685D" w:rsidRDefault="0096478D" w:rsidP="0096478D">
      <w:pPr>
        <w:pStyle w:val="Style5"/>
        <w:widowControl/>
        <w:spacing w:line="288" w:lineRule="auto"/>
        <w:rPr>
          <w:rStyle w:val="FontStyle13"/>
          <w:sz w:val="24"/>
        </w:rPr>
      </w:pPr>
    </w:p>
    <w:p w:rsidR="0096478D" w:rsidRPr="00BB685D" w:rsidRDefault="0096478D" w:rsidP="0096478D">
      <w:pPr>
        <w:pStyle w:val="Style4"/>
        <w:widowControl/>
        <w:rPr>
          <w:rStyle w:val="FontStyle15"/>
          <w:sz w:val="24"/>
        </w:rPr>
      </w:pPr>
      <w:r>
        <w:rPr>
          <w:rStyle w:val="FontStyle15"/>
          <w:sz w:val="24"/>
        </w:rPr>
        <w:t>The university's safety level for handling gas includes the following elements:</w:t>
      </w:r>
    </w:p>
    <w:p w:rsidR="0096478D" w:rsidRPr="00BB685D" w:rsidRDefault="0096478D" w:rsidP="0096478D">
      <w:pPr>
        <w:pStyle w:val="Style8"/>
        <w:widowControl/>
        <w:ind w:left="397" w:hanging="397"/>
        <w:rPr>
          <w:rStyle w:val="FontStyle13"/>
          <w:sz w:val="24"/>
        </w:rPr>
      </w:pPr>
      <w:r>
        <w:rPr>
          <w:rStyle w:val="FontStyle13"/>
          <w:sz w:val="24"/>
        </w:rPr>
        <w:t>1.</w:t>
      </w:r>
      <w:r>
        <w:tab/>
      </w:r>
      <w:r>
        <w:rPr>
          <w:rStyle w:val="FontStyle13"/>
          <w:sz w:val="24"/>
        </w:rPr>
        <w:t>Distribution of gases which are used regularly, takes place at outlet points via central pipe systems.</w:t>
      </w:r>
    </w:p>
    <w:p w:rsidR="0096478D" w:rsidRPr="00BB685D" w:rsidRDefault="0096478D" w:rsidP="0096478D">
      <w:pPr>
        <w:pStyle w:val="Style8"/>
        <w:widowControl/>
        <w:ind w:left="397" w:right="454" w:hanging="397"/>
        <w:rPr>
          <w:rStyle w:val="FontStyle13"/>
          <w:sz w:val="24"/>
        </w:rPr>
      </w:pPr>
      <w:r>
        <w:rPr>
          <w:rStyle w:val="FontStyle13"/>
          <w:sz w:val="24"/>
        </w:rPr>
        <w:t>2.</w:t>
      </w:r>
      <w:r>
        <w:tab/>
      </w:r>
      <w:r>
        <w:rPr>
          <w:rStyle w:val="FontStyle13"/>
          <w:sz w:val="24"/>
        </w:rPr>
        <w:t>A monitoring system is installed. This records gas consumption and insures that levels of flammable gases such as hydrogen and LPG do not exceed the maximum permitted instantaneous flows. Safety systems shut off the gas supply if these volumes are exceeded.</w:t>
      </w:r>
    </w:p>
    <w:p w:rsidR="0096478D" w:rsidRDefault="0096478D" w:rsidP="0096478D">
      <w:pPr>
        <w:pStyle w:val="Style8"/>
        <w:widowControl/>
        <w:ind w:left="397" w:right="1021" w:hanging="397"/>
        <w:rPr>
          <w:rStyle w:val="FontStyle13"/>
          <w:sz w:val="24"/>
        </w:rPr>
      </w:pPr>
      <w:r>
        <w:rPr>
          <w:rStyle w:val="FontStyle13"/>
          <w:sz w:val="24"/>
        </w:rPr>
        <w:t>3.</w:t>
      </w:r>
      <w:r>
        <w:tab/>
      </w:r>
      <w:r>
        <w:rPr>
          <w:rStyle w:val="FontStyle13"/>
          <w:sz w:val="24"/>
        </w:rPr>
        <w:t xml:space="preserve">Safe system for restarting after an outage is present. A sectioned distribution system with key switches at the laboratories. </w:t>
      </w:r>
    </w:p>
    <w:p w:rsidR="0096478D" w:rsidRPr="00BB685D" w:rsidRDefault="0096478D" w:rsidP="0096478D">
      <w:pPr>
        <w:pStyle w:val="Style8"/>
        <w:widowControl/>
        <w:spacing w:line="288" w:lineRule="auto"/>
        <w:rPr>
          <w:rStyle w:val="FontStyle13"/>
          <w:sz w:val="24"/>
        </w:rPr>
      </w:pPr>
    </w:p>
    <w:p w:rsidR="0096478D" w:rsidRDefault="0096478D" w:rsidP="0096478D">
      <w:pPr>
        <w:pStyle w:val="Style5"/>
        <w:widowControl/>
        <w:ind w:right="454"/>
        <w:rPr>
          <w:rStyle w:val="FontStyle13"/>
          <w:sz w:val="24"/>
        </w:rPr>
      </w:pPr>
      <w:r>
        <w:rPr>
          <w:rStyle w:val="FontStyle13"/>
          <w:sz w:val="24"/>
        </w:rPr>
        <w:t>Handling of gas cylinders should be avoided as far as possible. Local distribution systems may be used for certain special gases. Handling gas cylinders requires storage or a separate area in the lab.</w:t>
      </w:r>
    </w:p>
    <w:p w:rsidR="0096478D" w:rsidRPr="00BB685D" w:rsidRDefault="0096478D" w:rsidP="0096478D">
      <w:pPr>
        <w:pStyle w:val="Style5"/>
        <w:widowControl/>
        <w:spacing w:line="288" w:lineRule="auto"/>
        <w:rPr>
          <w:rStyle w:val="FontStyle13"/>
          <w:sz w:val="24"/>
        </w:rPr>
      </w:pPr>
    </w:p>
    <w:p w:rsidR="0096478D" w:rsidRDefault="0096478D" w:rsidP="0096478D">
      <w:pPr>
        <w:pStyle w:val="Style5"/>
        <w:widowControl/>
        <w:rPr>
          <w:rStyle w:val="FontStyle13"/>
          <w:sz w:val="24"/>
        </w:rPr>
      </w:pPr>
      <w:r>
        <w:rPr>
          <w:rStyle w:val="FontStyle13"/>
          <w:sz w:val="24"/>
        </w:rPr>
        <w:t>There must be a safe zone around outlet points for flammable gases with regard to electrical equipment not protected against explosive environments (SÄIFS 2004:7). At least one solenoid valve (main shut off valve) must be available on every floor.</w:t>
      </w:r>
    </w:p>
    <w:p w:rsidR="0096478D" w:rsidRPr="00BB685D" w:rsidRDefault="0096478D" w:rsidP="0096478D">
      <w:pPr>
        <w:pStyle w:val="Style5"/>
        <w:widowControl/>
        <w:spacing w:line="288" w:lineRule="auto"/>
        <w:rPr>
          <w:rStyle w:val="FontStyle13"/>
          <w:sz w:val="24"/>
        </w:rPr>
      </w:pPr>
    </w:p>
    <w:p w:rsidR="00E577CF" w:rsidRPr="0096478D" w:rsidRDefault="0096478D" w:rsidP="0096478D">
      <w:pPr>
        <w:pStyle w:val="Style5"/>
        <w:widowControl/>
        <w:ind w:right="624"/>
        <w:rPr>
          <w:rFonts w:ascii="Times New Roman" w:hAnsi="Times New Roman" w:cs="Times New Roman"/>
          <w:color w:val="000000"/>
          <w:szCs w:val="22"/>
        </w:rPr>
      </w:pPr>
      <w:r>
        <w:rPr>
          <w:rStyle w:val="FontStyle13"/>
          <w:sz w:val="24"/>
        </w:rPr>
        <w:t xml:space="preserve">Operating procedures and organisational responsibility for various parts of the system, handling permits, etc. are established in other documents. It is important to point out that a </w:t>
      </w:r>
      <w:r>
        <w:rPr>
          <w:rStyle w:val="FontStyle15"/>
          <w:sz w:val="24"/>
        </w:rPr>
        <w:t xml:space="preserve">risk assessment </w:t>
      </w:r>
      <w:r>
        <w:rPr>
          <w:rStyle w:val="FontStyle13"/>
          <w:sz w:val="24"/>
        </w:rPr>
        <w:t>must be carried out prior to new work on any hazardous activity (Gases, AFS 1997:7, Chemical work environment risks, AFS 2011:19). This must form the basis for the safety level defined and the handling procedures to be applied.</w:t>
      </w:r>
    </w:p>
    <w:sectPr w:rsidR="00E577CF" w:rsidRPr="0096478D" w:rsidSect="0096478D">
      <w:pgSz w:w="11907" w:h="16840" w:code="9"/>
      <w:pgMar w:top="454" w:right="1418" w:bottom="397" w:left="1418" w:header="397"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97C" w:rsidRDefault="00AB097C" w:rsidP="00D419EA">
      <w:r>
        <w:separator/>
      </w:r>
    </w:p>
  </w:endnote>
  <w:endnote w:type="continuationSeparator" w:id="0">
    <w:p w:rsidR="00AB097C" w:rsidRDefault="00AB097C" w:rsidP="00D4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97C" w:rsidRDefault="00AB097C" w:rsidP="00D419EA">
      <w:r>
        <w:separator/>
      </w:r>
    </w:p>
  </w:footnote>
  <w:footnote w:type="continuationSeparator" w:id="0">
    <w:p w:rsidR="00AB097C" w:rsidRDefault="00AB097C" w:rsidP="00D41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4"/>
    <w:rsid w:val="00017AA9"/>
    <w:rsid w:val="00057B59"/>
    <w:rsid w:val="0007192D"/>
    <w:rsid w:val="000A4966"/>
    <w:rsid w:val="000B2300"/>
    <w:rsid w:val="000B625A"/>
    <w:rsid w:val="001073FC"/>
    <w:rsid w:val="00116DEC"/>
    <w:rsid w:val="00126410"/>
    <w:rsid w:val="00126F71"/>
    <w:rsid w:val="0013671C"/>
    <w:rsid w:val="00182D5B"/>
    <w:rsid w:val="001B0FE2"/>
    <w:rsid w:val="001F0725"/>
    <w:rsid w:val="00200897"/>
    <w:rsid w:val="00202BE9"/>
    <w:rsid w:val="00205FDF"/>
    <w:rsid w:val="0028724E"/>
    <w:rsid w:val="00290C4D"/>
    <w:rsid w:val="002C02EB"/>
    <w:rsid w:val="002C2CE9"/>
    <w:rsid w:val="00316B20"/>
    <w:rsid w:val="00353FA7"/>
    <w:rsid w:val="003E2D25"/>
    <w:rsid w:val="003F54A9"/>
    <w:rsid w:val="00423058"/>
    <w:rsid w:val="00432905"/>
    <w:rsid w:val="00453B11"/>
    <w:rsid w:val="00462C34"/>
    <w:rsid w:val="004B2E65"/>
    <w:rsid w:val="0050001A"/>
    <w:rsid w:val="005626EE"/>
    <w:rsid w:val="00582EF9"/>
    <w:rsid w:val="00587B48"/>
    <w:rsid w:val="005B5934"/>
    <w:rsid w:val="0076044F"/>
    <w:rsid w:val="00775437"/>
    <w:rsid w:val="0079282A"/>
    <w:rsid w:val="007A3068"/>
    <w:rsid w:val="00834504"/>
    <w:rsid w:val="00851DB2"/>
    <w:rsid w:val="0086422E"/>
    <w:rsid w:val="00895B44"/>
    <w:rsid w:val="00897CD7"/>
    <w:rsid w:val="008A6999"/>
    <w:rsid w:val="008D79AE"/>
    <w:rsid w:val="008E2FFF"/>
    <w:rsid w:val="0096478D"/>
    <w:rsid w:val="00965324"/>
    <w:rsid w:val="0096748C"/>
    <w:rsid w:val="00996823"/>
    <w:rsid w:val="009B7C0A"/>
    <w:rsid w:val="00A97B0E"/>
    <w:rsid w:val="00AB097C"/>
    <w:rsid w:val="00AD2515"/>
    <w:rsid w:val="00AE2F39"/>
    <w:rsid w:val="00B043AA"/>
    <w:rsid w:val="00B373AD"/>
    <w:rsid w:val="00B8503D"/>
    <w:rsid w:val="00BC443A"/>
    <w:rsid w:val="00BE006B"/>
    <w:rsid w:val="00BF14D5"/>
    <w:rsid w:val="00C33FBF"/>
    <w:rsid w:val="00CA43FC"/>
    <w:rsid w:val="00CC29C2"/>
    <w:rsid w:val="00CF543D"/>
    <w:rsid w:val="00D419EA"/>
    <w:rsid w:val="00D52B15"/>
    <w:rsid w:val="00D60CCC"/>
    <w:rsid w:val="00DA6509"/>
    <w:rsid w:val="00DB1B7B"/>
    <w:rsid w:val="00E06327"/>
    <w:rsid w:val="00E229AC"/>
    <w:rsid w:val="00E36A20"/>
    <w:rsid w:val="00E577CF"/>
    <w:rsid w:val="00EA5DF6"/>
    <w:rsid w:val="00EA73CA"/>
    <w:rsid w:val="00F35BA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061617-09DD-438B-9536-15B3C725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C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NOTTRANSLATE">
    <w:name w:val="DO NOT TRANSLATE"/>
    <w:basedOn w:val="Normal"/>
    <w:qFormat/>
    <w:rsid w:val="005626EE"/>
    <w:rPr>
      <w:color w:val="FF0000"/>
    </w:rPr>
  </w:style>
  <w:style w:type="paragraph" w:customStyle="1" w:styleId="Bold">
    <w:name w:val="Bold"/>
    <w:basedOn w:val="Normal"/>
    <w:qFormat/>
    <w:rsid w:val="005626EE"/>
    <w:rPr>
      <w:b/>
      <w:color w:val="000000" w:themeColor="text1"/>
    </w:rPr>
  </w:style>
  <w:style w:type="table" w:styleId="Tabellrutnt">
    <w:name w:val="Table Grid"/>
    <w:basedOn w:val="Normaltabell"/>
    <w:rsid w:val="00D419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E577CF"/>
    <w:rPr>
      <w:rFonts w:ascii="Tahoma" w:hAnsi="Tahoma" w:cs="Tahoma"/>
      <w:sz w:val="16"/>
      <w:szCs w:val="16"/>
    </w:rPr>
  </w:style>
  <w:style w:type="character" w:customStyle="1" w:styleId="BallongtextChar">
    <w:name w:val="Ballongtext Char"/>
    <w:basedOn w:val="Standardstycketeckensnitt"/>
    <w:link w:val="Ballongtext"/>
    <w:rsid w:val="00E577CF"/>
    <w:rPr>
      <w:rFonts w:ascii="Tahoma" w:hAnsi="Tahoma" w:cs="Tahoma"/>
      <w:sz w:val="16"/>
      <w:szCs w:val="16"/>
    </w:rPr>
  </w:style>
  <w:style w:type="paragraph" w:styleId="Sidhuvud">
    <w:name w:val="header"/>
    <w:basedOn w:val="Normal"/>
    <w:link w:val="SidhuvudChar"/>
    <w:rsid w:val="00996823"/>
    <w:pPr>
      <w:tabs>
        <w:tab w:val="center" w:pos="4252"/>
        <w:tab w:val="right" w:pos="8504"/>
      </w:tabs>
    </w:pPr>
  </w:style>
  <w:style w:type="character" w:customStyle="1" w:styleId="SidhuvudChar">
    <w:name w:val="Sidhuvud Char"/>
    <w:basedOn w:val="Standardstycketeckensnitt"/>
    <w:link w:val="Sidhuvud"/>
    <w:rsid w:val="00996823"/>
    <w:rPr>
      <w:sz w:val="24"/>
      <w:szCs w:val="24"/>
    </w:rPr>
  </w:style>
  <w:style w:type="paragraph" w:styleId="Sidfot">
    <w:name w:val="footer"/>
    <w:basedOn w:val="Normal"/>
    <w:link w:val="SidfotChar"/>
    <w:rsid w:val="00996823"/>
    <w:pPr>
      <w:tabs>
        <w:tab w:val="center" w:pos="4252"/>
        <w:tab w:val="right" w:pos="8504"/>
      </w:tabs>
    </w:pPr>
  </w:style>
  <w:style w:type="character" w:customStyle="1" w:styleId="SidfotChar">
    <w:name w:val="Sidfot Char"/>
    <w:basedOn w:val="Standardstycketeckensnitt"/>
    <w:link w:val="Sidfot"/>
    <w:rsid w:val="00996823"/>
    <w:rPr>
      <w:sz w:val="24"/>
      <w:szCs w:val="24"/>
    </w:rPr>
  </w:style>
  <w:style w:type="paragraph" w:customStyle="1" w:styleId="Style1">
    <w:name w:val="Style1"/>
    <w:basedOn w:val="Normal"/>
    <w:uiPriority w:val="99"/>
    <w:rsid w:val="0096478D"/>
    <w:pPr>
      <w:widowControl w:val="0"/>
      <w:autoSpaceDE w:val="0"/>
      <w:autoSpaceDN w:val="0"/>
      <w:adjustRightInd w:val="0"/>
    </w:pPr>
    <w:rPr>
      <w:rFonts w:ascii="Segoe UI" w:eastAsiaTheme="minorEastAsia" w:hAnsi="Segoe UI" w:cs="Segoe UI"/>
    </w:rPr>
  </w:style>
  <w:style w:type="paragraph" w:customStyle="1" w:styleId="Style2">
    <w:name w:val="Style2"/>
    <w:basedOn w:val="Normal"/>
    <w:uiPriority w:val="99"/>
    <w:rsid w:val="0096478D"/>
    <w:pPr>
      <w:widowControl w:val="0"/>
      <w:autoSpaceDE w:val="0"/>
      <w:autoSpaceDN w:val="0"/>
      <w:adjustRightInd w:val="0"/>
    </w:pPr>
    <w:rPr>
      <w:rFonts w:ascii="Segoe UI" w:eastAsiaTheme="minorEastAsia" w:hAnsi="Segoe UI" w:cs="Segoe UI"/>
    </w:rPr>
  </w:style>
  <w:style w:type="paragraph" w:customStyle="1" w:styleId="Style3">
    <w:name w:val="Style3"/>
    <w:basedOn w:val="Normal"/>
    <w:uiPriority w:val="99"/>
    <w:rsid w:val="0096478D"/>
    <w:pPr>
      <w:widowControl w:val="0"/>
      <w:autoSpaceDE w:val="0"/>
      <w:autoSpaceDN w:val="0"/>
      <w:adjustRightInd w:val="0"/>
    </w:pPr>
    <w:rPr>
      <w:rFonts w:ascii="Segoe UI" w:eastAsiaTheme="minorEastAsia" w:hAnsi="Segoe UI" w:cs="Segoe UI"/>
    </w:rPr>
  </w:style>
  <w:style w:type="paragraph" w:customStyle="1" w:styleId="Style4">
    <w:name w:val="Style4"/>
    <w:basedOn w:val="Normal"/>
    <w:uiPriority w:val="99"/>
    <w:rsid w:val="0096478D"/>
    <w:pPr>
      <w:widowControl w:val="0"/>
      <w:autoSpaceDE w:val="0"/>
      <w:autoSpaceDN w:val="0"/>
      <w:adjustRightInd w:val="0"/>
    </w:pPr>
    <w:rPr>
      <w:rFonts w:ascii="Segoe UI" w:eastAsiaTheme="minorEastAsia" w:hAnsi="Segoe UI" w:cs="Segoe UI"/>
    </w:rPr>
  </w:style>
  <w:style w:type="paragraph" w:customStyle="1" w:styleId="Style5">
    <w:name w:val="Style5"/>
    <w:basedOn w:val="Normal"/>
    <w:uiPriority w:val="99"/>
    <w:rsid w:val="0096478D"/>
    <w:pPr>
      <w:widowControl w:val="0"/>
      <w:autoSpaceDE w:val="0"/>
      <w:autoSpaceDN w:val="0"/>
      <w:adjustRightInd w:val="0"/>
    </w:pPr>
    <w:rPr>
      <w:rFonts w:ascii="Segoe UI" w:eastAsiaTheme="minorEastAsia" w:hAnsi="Segoe UI" w:cs="Segoe UI"/>
    </w:rPr>
  </w:style>
  <w:style w:type="paragraph" w:customStyle="1" w:styleId="Style6">
    <w:name w:val="Style6"/>
    <w:basedOn w:val="Normal"/>
    <w:uiPriority w:val="99"/>
    <w:rsid w:val="0096478D"/>
    <w:pPr>
      <w:widowControl w:val="0"/>
      <w:autoSpaceDE w:val="0"/>
      <w:autoSpaceDN w:val="0"/>
      <w:adjustRightInd w:val="0"/>
    </w:pPr>
    <w:rPr>
      <w:rFonts w:ascii="Segoe UI" w:eastAsiaTheme="minorEastAsia" w:hAnsi="Segoe UI" w:cs="Segoe UI"/>
    </w:rPr>
  </w:style>
  <w:style w:type="paragraph" w:customStyle="1" w:styleId="Style7">
    <w:name w:val="Style7"/>
    <w:basedOn w:val="Normal"/>
    <w:uiPriority w:val="99"/>
    <w:rsid w:val="0096478D"/>
    <w:pPr>
      <w:widowControl w:val="0"/>
      <w:autoSpaceDE w:val="0"/>
      <w:autoSpaceDN w:val="0"/>
      <w:adjustRightInd w:val="0"/>
    </w:pPr>
    <w:rPr>
      <w:rFonts w:ascii="Segoe UI" w:eastAsiaTheme="minorEastAsia" w:hAnsi="Segoe UI" w:cs="Segoe UI"/>
    </w:rPr>
  </w:style>
  <w:style w:type="paragraph" w:customStyle="1" w:styleId="Style8">
    <w:name w:val="Style8"/>
    <w:basedOn w:val="Normal"/>
    <w:uiPriority w:val="99"/>
    <w:rsid w:val="0096478D"/>
    <w:pPr>
      <w:widowControl w:val="0"/>
      <w:autoSpaceDE w:val="0"/>
      <w:autoSpaceDN w:val="0"/>
      <w:adjustRightInd w:val="0"/>
    </w:pPr>
    <w:rPr>
      <w:rFonts w:ascii="Segoe UI" w:eastAsiaTheme="minorEastAsia" w:hAnsi="Segoe UI" w:cs="Segoe UI"/>
    </w:rPr>
  </w:style>
  <w:style w:type="character" w:customStyle="1" w:styleId="FontStyle11">
    <w:name w:val="Font Style11"/>
    <w:basedOn w:val="Standardstycketeckensnitt"/>
    <w:uiPriority w:val="99"/>
    <w:rsid w:val="0096478D"/>
    <w:rPr>
      <w:rFonts w:ascii="Segoe UI" w:hAnsi="Segoe UI" w:cs="Segoe UI"/>
      <w:color w:val="000000"/>
      <w:sz w:val="18"/>
      <w:szCs w:val="18"/>
    </w:rPr>
  </w:style>
  <w:style w:type="character" w:customStyle="1" w:styleId="FontStyle12">
    <w:name w:val="Font Style12"/>
    <w:basedOn w:val="Standardstycketeckensnitt"/>
    <w:uiPriority w:val="99"/>
    <w:rsid w:val="0096478D"/>
    <w:rPr>
      <w:rFonts w:ascii="Times New Roman" w:hAnsi="Times New Roman" w:cs="Times New Roman"/>
      <w:b/>
      <w:bCs/>
      <w:color w:val="000000"/>
      <w:sz w:val="26"/>
      <w:szCs w:val="26"/>
    </w:rPr>
  </w:style>
  <w:style w:type="character" w:customStyle="1" w:styleId="FontStyle13">
    <w:name w:val="Font Style13"/>
    <w:basedOn w:val="Standardstycketeckensnitt"/>
    <w:uiPriority w:val="99"/>
    <w:rsid w:val="0096478D"/>
    <w:rPr>
      <w:rFonts w:ascii="Times New Roman" w:hAnsi="Times New Roman" w:cs="Times New Roman"/>
      <w:color w:val="000000"/>
      <w:sz w:val="22"/>
      <w:szCs w:val="22"/>
    </w:rPr>
  </w:style>
  <w:style w:type="character" w:customStyle="1" w:styleId="FontStyle14">
    <w:name w:val="Font Style14"/>
    <w:basedOn w:val="Standardstycketeckensnitt"/>
    <w:uiPriority w:val="99"/>
    <w:rsid w:val="0096478D"/>
    <w:rPr>
      <w:rFonts w:ascii="Times New Roman" w:hAnsi="Times New Roman" w:cs="Times New Roman"/>
      <w:color w:val="000000"/>
      <w:sz w:val="20"/>
      <w:szCs w:val="20"/>
    </w:rPr>
  </w:style>
  <w:style w:type="character" w:customStyle="1" w:styleId="FontStyle15">
    <w:name w:val="Font Style15"/>
    <w:basedOn w:val="Standardstycketeckensnitt"/>
    <w:uiPriority w:val="99"/>
    <w:rsid w:val="0096478D"/>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2243-F009-4F06-A78E-E9B9199A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2354</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 NORDIKA</dc:creator>
  <cp:lastModifiedBy>Carolin Johansson</cp:lastModifiedBy>
  <cp:revision>2</cp:revision>
  <dcterms:created xsi:type="dcterms:W3CDTF">2015-07-31T18:31:00Z</dcterms:created>
  <dcterms:modified xsi:type="dcterms:W3CDTF">2015-07-31T18:31:00Z</dcterms:modified>
</cp:coreProperties>
</file>