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8F29" w14:textId="77777777" w:rsidR="005659C1" w:rsidRPr="008C7B2D" w:rsidRDefault="005659C1" w:rsidP="005659C1">
      <w:pPr>
        <w:pStyle w:val="UmURubrik1"/>
        <w:spacing w:after="0" w:line="240" w:lineRule="auto"/>
        <w:rPr>
          <w:i/>
          <w:szCs w:val="32"/>
        </w:rPr>
      </w:pPr>
      <w:r w:rsidRPr="008C7B2D">
        <w:rPr>
          <w:noProof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41284" wp14:editId="674757EC">
                <wp:simplePos x="0" y="0"/>
                <wp:positionH relativeFrom="margin">
                  <wp:align>left</wp:align>
                </wp:positionH>
                <wp:positionV relativeFrom="page">
                  <wp:posOffset>1295400</wp:posOffset>
                </wp:positionV>
                <wp:extent cx="6400800" cy="2971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15" w:type="dxa"/>
                              <w:tblInd w:w="10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841"/>
                              <w:gridCol w:w="4174"/>
                            </w:tblGrid>
                            <w:tr w:rsidR="005659C1" w14:paraId="677A400A" w14:textId="77777777" w:rsidTr="00316607">
                              <w:trPr>
                                <w:trHeight w:val="2304"/>
                              </w:trPr>
                              <w:tc>
                                <w:tcPr>
                                  <w:tcW w:w="5841" w:type="dxa"/>
                                </w:tcPr>
                                <w:p w14:paraId="2C140F57" w14:textId="77777777" w:rsidR="005659C1" w:rsidRDefault="005659C1" w:rsidP="00316607">
                                  <w:pPr>
                                    <w:pStyle w:val="Sidhuvud"/>
                                    <w:spacing w:after="0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4174" w:type="dxa"/>
                                  <w:tcMar>
                                    <w:left w:w="0" w:type="dxa"/>
                                  </w:tcMar>
                                </w:tcPr>
                                <w:p w14:paraId="189D595F" w14:textId="77777777" w:rsidR="005659C1" w:rsidRDefault="005659C1" w:rsidP="00316607">
                                  <w:pPr>
                                    <w:pStyle w:val="Sidhuvud"/>
                                    <w:spacing w:after="0" w:line="200" w:lineRule="exact"/>
                                  </w:pPr>
                                </w:p>
                              </w:tc>
                            </w:tr>
                          </w:tbl>
                          <w:p w14:paraId="57F7B81E" w14:textId="77777777" w:rsidR="005659C1" w:rsidRDefault="005659C1" w:rsidP="005659C1"/>
                        </w:txbxContent>
                      </wps:txbx>
                      <wps:bodyPr rot="0" vert="horz" wrap="square" lIns="54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41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2pt;width:7in;height:2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" stroked="f">
                <v:textbox inset="1.5mm,1mm">
                  <w:txbxContent>
                    <w:tbl>
                      <w:tblPr>
                        <w:tblW w:w="10015" w:type="dxa"/>
                        <w:tblInd w:w="108" w:type="dxa"/>
                        <w:tblLook w:val="00A0" w:firstRow="1" w:lastRow="0" w:firstColumn="1" w:lastColumn="0" w:noHBand="0" w:noVBand="0"/>
                      </w:tblPr>
                      <w:tblGrid>
                        <w:gridCol w:w="5841"/>
                        <w:gridCol w:w="4174"/>
                      </w:tblGrid>
                      <w:tr w:rsidR="005659C1" w14:paraId="677A400A" w14:textId="77777777" w:rsidTr="00316607">
                        <w:trPr>
                          <w:trHeight w:val="2304"/>
                        </w:trPr>
                        <w:tc>
                          <w:tcPr>
                            <w:tcW w:w="5841" w:type="dxa"/>
                          </w:tcPr>
                          <w:p w14:paraId="2C140F57" w14:textId="77777777" w:rsidR="005659C1" w:rsidRDefault="005659C1" w:rsidP="00316607">
                            <w:pPr>
                              <w:pStyle w:val="Sidhuvud"/>
                              <w:spacing w:after="0"/>
                              <w:outlineLvl w:val="0"/>
                            </w:pPr>
                          </w:p>
                        </w:tc>
                        <w:tc>
                          <w:tcPr>
                            <w:tcW w:w="4174" w:type="dxa"/>
                            <w:tcMar>
                              <w:left w:w="0" w:type="dxa"/>
                            </w:tcMar>
                          </w:tcPr>
                          <w:p w14:paraId="189D595F" w14:textId="77777777" w:rsidR="005659C1" w:rsidRDefault="005659C1" w:rsidP="00316607">
                            <w:pPr>
                              <w:pStyle w:val="Sidhuvud"/>
                              <w:spacing w:after="0" w:line="200" w:lineRule="exact"/>
                            </w:pPr>
                          </w:p>
                        </w:tc>
                      </w:tr>
                    </w:tbl>
                    <w:p w14:paraId="57F7B81E" w14:textId="77777777" w:rsidR="005659C1" w:rsidRDefault="005659C1" w:rsidP="005659C1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C7B2D">
        <w:rPr>
          <w:szCs w:val="32"/>
        </w:rPr>
        <w:t xml:space="preserve">Sammanfattning av regeringens ekonomiska vårproposition samt </w:t>
      </w:r>
      <w:proofErr w:type="spellStart"/>
      <w:r w:rsidRPr="008C7B2D">
        <w:rPr>
          <w:szCs w:val="32"/>
        </w:rPr>
        <w:t>Vårändringsbudget</w:t>
      </w:r>
      <w:proofErr w:type="spellEnd"/>
      <w:r w:rsidRPr="008C7B2D">
        <w:rPr>
          <w:szCs w:val="32"/>
        </w:rPr>
        <w:t xml:space="preserve"> 2019, (2018/19:99)</w:t>
      </w:r>
    </w:p>
    <w:p w14:paraId="6D90E5E4" w14:textId="77777777" w:rsidR="005659C1" w:rsidRDefault="005659C1" w:rsidP="005659C1">
      <w:pPr>
        <w:pStyle w:val="Normalwebb"/>
        <w:shd w:val="clear" w:color="auto" w:fill="FFFFFF"/>
        <w:rPr>
          <w:rFonts w:ascii="Georgia" w:eastAsia="Times New Roman" w:hAnsi="Georgia"/>
          <w:sz w:val="22"/>
          <w:szCs w:val="22"/>
        </w:rPr>
      </w:pPr>
    </w:p>
    <w:p w14:paraId="6AD05F66" w14:textId="77777777" w:rsidR="005659C1" w:rsidRPr="005659C1" w:rsidRDefault="005659C1" w:rsidP="005659C1">
      <w:pPr>
        <w:pStyle w:val="Normalwebb"/>
        <w:shd w:val="clear" w:color="auto" w:fill="FFFFFF"/>
        <w:jc w:val="both"/>
        <w:rPr>
          <w:rFonts w:ascii="Georgia" w:eastAsia="Times New Roman" w:hAnsi="Georgia"/>
          <w:sz w:val="22"/>
          <w:szCs w:val="22"/>
        </w:rPr>
      </w:pPr>
      <w:r w:rsidRPr="005659C1">
        <w:rPr>
          <w:rFonts w:ascii="Georgia" w:eastAsia="Times New Roman" w:hAnsi="Georgia"/>
          <w:sz w:val="22"/>
          <w:szCs w:val="22"/>
        </w:rPr>
        <w:t>Den 10 april överlämnade regeringen sin ekonomiska vårproposition samt förslag till ändringar i årets budget till riksdagen. I vårpropositionen redovisar regeringen sin bedömning av det ekonomiska läget och inriktning för finanspolitiken inför budgeten för 2020. I vårändringsbudgeten redovisas regeringens ändringsförslag i årets budget. Den ekonomiska vårpropositionen och förslagen i vårändringsbudgeten bygger på januariavtalet, den sakpolitiska överenskommelsen mellan Socialdemokraterna, Centerpartiet, Liberalerna och Miljöpartiet.</w:t>
      </w:r>
    </w:p>
    <w:p w14:paraId="56E8CAC2" w14:textId="1287D845" w:rsidR="005659C1" w:rsidRPr="005659C1" w:rsidRDefault="008C7B2D" w:rsidP="005659C1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Allmänt</w:t>
      </w:r>
      <w:r>
        <w:rPr>
          <w:rFonts w:ascii="Georgia" w:hAnsi="Georgia"/>
          <w:b/>
          <w:sz w:val="22"/>
          <w:szCs w:val="22"/>
        </w:rPr>
        <w:br/>
      </w:r>
      <w:r>
        <w:rPr>
          <w:rFonts w:ascii="Georgia" w:hAnsi="Georgia"/>
          <w:b/>
          <w:sz w:val="22"/>
          <w:szCs w:val="22"/>
        </w:rPr>
        <w:br/>
      </w:r>
      <w:r w:rsidR="005659C1" w:rsidRPr="005659C1">
        <w:rPr>
          <w:rFonts w:ascii="Georgia" w:hAnsi="Georgia"/>
          <w:b/>
          <w:sz w:val="22"/>
          <w:szCs w:val="22"/>
        </w:rPr>
        <w:t>Reformer</w:t>
      </w:r>
      <w:r w:rsidR="005659C1" w:rsidRPr="005659C1">
        <w:rPr>
          <w:rFonts w:ascii="Georgia" w:hAnsi="Georgia"/>
          <w:sz w:val="22"/>
          <w:szCs w:val="22"/>
        </w:rPr>
        <w:br/>
        <w:t>Regeringen konstaterar att svensk ekonomi står stark men att tillväxten kan komma att mattas av under året.  De reformer som presenteras i vårändringsbudgeten handlar i mångt och mycket om att genomföra januariavtalet och således berörs universitets- och högskolesektorn i princip inte av dessa</w:t>
      </w:r>
      <w:r w:rsidR="005659C1">
        <w:rPr>
          <w:rFonts w:ascii="Georgia" w:hAnsi="Georgia"/>
          <w:sz w:val="22"/>
          <w:szCs w:val="22"/>
        </w:rPr>
        <w:t xml:space="preserve"> reformer</w:t>
      </w:r>
      <w:r w:rsidR="005659C1" w:rsidRPr="005659C1">
        <w:rPr>
          <w:rFonts w:ascii="Georgia" w:hAnsi="Georgia"/>
          <w:sz w:val="22"/>
          <w:szCs w:val="22"/>
        </w:rPr>
        <w:t xml:space="preserve">. Huvudområdena i reformerna </w:t>
      </w:r>
      <w:r w:rsidR="005659C1">
        <w:rPr>
          <w:rFonts w:ascii="Georgia" w:hAnsi="Georgia"/>
          <w:sz w:val="22"/>
          <w:szCs w:val="22"/>
        </w:rPr>
        <w:t>är i stort överensstämmande med 2018 års reformer och syftar</w:t>
      </w:r>
      <w:r w:rsidR="005659C1" w:rsidRPr="005659C1">
        <w:rPr>
          <w:rFonts w:ascii="Georgia" w:hAnsi="Georgia"/>
          <w:sz w:val="22"/>
          <w:szCs w:val="22"/>
        </w:rPr>
        <w:t xml:space="preserve"> bland annat att </w:t>
      </w:r>
      <w:r w:rsidR="005659C1">
        <w:rPr>
          <w:rFonts w:ascii="Georgia" w:hAnsi="Georgia"/>
          <w:sz w:val="22"/>
          <w:szCs w:val="22"/>
        </w:rPr>
        <w:t xml:space="preserve">till att </w:t>
      </w:r>
      <w:r w:rsidR="005659C1" w:rsidRPr="005659C1">
        <w:rPr>
          <w:rFonts w:ascii="Georgia" w:hAnsi="Georgia"/>
          <w:b/>
          <w:sz w:val="22"/>
          <w:szCs w:val="22"/>
        </w:rPr>
        <w:t>fler ska komma i arbete</w:t>
      </w:r>
      <w:r w:rsidR="005659C1" w:rsidRPr="005659C1">
        <w:rPr>
          <w:rFonts w:ascii="Georgia" w:hAnsi="Georgia"/>
          <w:sz w:val="22"/>
          <w:szCs w:val="22"/>
        </w:rPr>
        <w:t xml:space="preserve"> genom en nedsättning av arbetsgivaravgifter för unga och att kollektivavtal för nystartsjobb tas bort. Andra reformer avser en </w:t>
      </w:r>
      <w:r w:rsidR="005659C1" w:rsidRPr="005659C1">
        <w:rPr>
          <w:rFonts w:ascii="Georgia" w:hAnsi="Georgia"/>
          <w:b/>
          <w:sz w:val="22"/>
          <w:szCs w:val="22"/>
        </w:rPr>
        <w:t>stärkning av välfärden</w:t>
      </w:r>
      <w:r w:rsidR="005659C1" w:rsidRPr="005659C1">
        <w:rPr>
          <w:rFonts w:ascii="Georgia" w:hAnsi="Georgia"/>
          <w:sz w:val="22"/>
          <w:szCs w:val="22"/>
        </w:rPr>
        <w:t xml:space="preserve"> med en höjning av medel till och ett behållande av jämställdhetsmyndigheten samt en höjning av undervisningens kvalité i grundskolan </w:t>
      </w:r>
      <w:r w:rsidR="005659C1">
        <w:rPr>
          <w:rFonts w:ascii="Georgia" w:hAnsi="Georgia"/>
          <w:sz w:val="22"/>
          <w:szCs w:val="22"/>
        </w:rPr>
        <w:t>genom</w:t>
      </w:r>
      <w:r w:rsidR="005659C1" w:rsidRPr="005659C1">
        <w:rPr>
          <w:rFonts w:ascii="Georgia" w:hAnsi="Georgia"/>
          <w:sz w:val="22"/>
          <w:szCs w:val="22"/>
        </w:rPr>
        <w:t xml:space="preserve"> en långsiktig satsning på lärarassistenter. Inom </w:t>
      </w:r>
      <w:r w:rsidR="005659C1" w:rsidRPr="005659C1">
        <w:rPr>
          <w:rFonts w:ascii="Georgia" w:hAnsi="Georgia"/>
          <w:b/>
          <w:sz w:val="22"/>
          <w:szCs w:val="22"/>
        </w:rPr>
        <w:t xml:space="preserve">miljöområdet </w:t>
      </w:r>
      <w:r w:rsidR="005659C1" w:rsidRPr="005659C1">
        <w:rPr>
          <w:rFonts w:ascii="Georgia" w:hAnsi="Georgia"/>
          <w:sz w:val="22"/>
          <w:szCs w:val="22"/>
        </w:rPr>
        <w:t xml:space="preserve">aviserar regeringen att </w:t>
      </w:r>
      <w:r w:rsidR="005659C1" w:rsidRPr="003B5835">
        <w:rPr>
          <w:rFonts w:ascii="Georgia" w:hAnsi="Georgia"/>
          <w:sz w:val="22"/>
          <w:szCs w:val="22"/>
        </w:rPr>
        <w:t>Sverige ska bli världens första fossilfria välfärdsland</w:t>
      </w:r>
      <w:r w:rsidR="005659C1" w:rsidRPr="005659C1">
        <w:rPr>
          <w:rFonts w:ascii="Georgia" w:hAnsi="Georgia"/>
          <w:sz w:val="22"/>
          <w:szCs w:val="22"/>
        </w:rPr>
        <w:t xml:space="preserve"> (senast 2045)</w:t>
      </w:r>
      <w:r w:rsidR="005659C1" w:rsidRPr="003B5835">
        <w:rPr>
          <w:rFonts w:ascii="Georgia" w:hAnsi="Georgia"/>
          <w:sz w:val="22"/>
          <w:szCs w:val="22"/>
        </w:rPr>
        <w:t xml:space="preserve">. </w:t>
      </w:r>
      <w:r w:rsidR="005659C1" w:rsidRPr="005659C1">
        <w:rPr>
          <w:rFonts w:ascii="Georgia" w:hAnsi="Georgia"/>
          <w:sz w:val="22"/>
          <w:szCs w:val="22"/>
        </w:rPr>
        <w:t xml:space="preserve"> Detta ska stimuleras med en förstärkning av det </w:t>
      </w:r>
      <w:r w:rsidRPr="005659C1">
        <w:rPr>
          <w:rFonts w:ascii="Georgia" w:hAnsi="Georgia"/>
          <w:sz w:val="22"/>
          <w:szCs w:val="22"/>
        </w:rPr>
        <w:t>s.k.</w:t>
      </w:r>
      <w:r w:rsidR="005659C1" w:rsidRPr="005659C1">
        <w:rPr>
          <w:rFonts w:ascii="Georgia" w:hAnsi="Georgia"/>
          <w:sz w:val="22"/>
          <w:szCs w:val="22"/>
        </w:rPr>
        <w:t xml:space="preserve"> klimat- och industriklivet som anslås ytterligare ca 2 miljarder kronor. Regeringen slår fast att politiken ska komma hela landet till de</w:t>
      </w:r>
      <w:r w:rsidR="005659C1">
        <w:rPr>
          <w:rFonts w:ascii="Georgia" w:hAnsi="Georgia"/>
          <w:sz w:val="22"/>
          <w:szCs w:val="22"/>
        </w:rPr>
        <w:t xml:space="preserve">l </w:t>
      </w:r>
      <w:r w:rsidR="005659C1" w:rsidRPr="005659C1">
        <w:rPr>
          <w:rFonts w:ascii="Georgia" w:hAnsi="Georgia"/>
          <w:sz w:val="22"/>
          <w:szCs w:val="22"/>
        </w:rPr>
        <w:t xml:space="preserve">och </w:t>
      </w:r>
      <w:r w:rsidR="005659C1">
        <w:rPr>
          <w:rFonts w:ascii="Georgia" w:hAnsi="Georgia"/>
          <w:sz w:val="22"/>
          <w:szCs w:val="22"/>
        </w:rPr>
        <w:t xml:space="preserve">att </w:t>
      </w:r>
      <w:r w:rsidR="005659C1" w:rsidRPr="005659C1">
        <w:rPr>
          <w:rFonts w:ascii="Georgia" w:hAnsi="Georgia"/>
          <w:b/>
          <w:sz w:val="22"/>
          <w:szCs w:val="22"/>
        </w:rPr>
        <w:t>hela landet ska växa</w:t>
      </w:r>
      <w:r w:rsidR="005659C1" w:rsidRPr="005659C1">
        <w:rPr>
          <w:rFonts w:ascii="Georgia" w:hAnsi="Georgia"/>
          <w:sz w:val="22"/>
          <w:szCs w:val="22"/>
        </w:rPr>
        <w:t>. En satsning sker därför om 0,5 miljarder kronor i vårändringsbudgeten på bl.a. stöd till jordbruket till följd av extremväder och bredbandsutbyggnad.</w:t>
      </w:r>
    </w:p>
    <w:p w14:paraId="3BB7544F" w14:textId="77777777" w:rsidR="005659C1" w:rsidRPr="00CF536B" w:rsidRDefault="005659C1" w:rsidP="005659C1">
      <w:pPr>
        <w:rPr>
          <w:rFonts w:ascii="Georgia" w:hAnsi="Georgia"/>
          <w:sz w:val="22"/>
          <w:szCs w:val="22"/>
        </w:rPr>
      </w:pPr>
    </w:p>
    <w:p w14:paraId="032A40C1" w14:textId="2E21360A" w:rsidR="005659C1" w:rsidRPr="00F0783F" w:rsidRDefault="005659C1" w:rsidP="005659C1">
      <w:pPr>
        <w:pStyle w:val="UmUNormal"/>
        <w:spacing w:after="0"/>
        <w:rPr>
          <w:sz w:val="22"/>
          <w:szCs w:val="22"/>
        </w:rPr>
      </w:pPr>
      <w:r w:rsidRPr="00F0783F">
        <w:rPr>
          <w:sz w:val="22"/>
          <w:szCs w:val="22"/>
        </w:rPr>
        <w:t xml:space="preserve">I vårändringsbudgeten presenterar regeringen satsningar </w:t>
      </w:r>
      <w:r>
        <w:rPr>
          <w:sz w:val="22"/>
          <w:szCs w:val="22"/>
        </w:rPr>
        <w:t xml:space="preserve">om totalt 4503 mnkr </w:t>
      </w:r>
      <w:r w:rsidR="008C7B2D">
        <w:rPr>
          <w:sz w:val="22"/>
          <w:szCs w:val="22"/>
        </w:rPr>
        <w:t>med</w:t>
      </w:r>
      <w:r w:rsidRPr="00F0783F">
        <w:rPr>
          <w:sz w:val="22"/>
          <w:szCs w:val="22"/>
        </w:rPr>
        <w:t xml:space="preserve"> följande områden:</w:t>
      </w:r>
    </w:p>
    <w:p w14:paraId="0702EEBA" w14:textId="77777777" w:rsidR="005659C1" w:rsidRDefault="005659C1" w:rsidP="005659C1">
      <w:pPr>
        <w:pStyle w:val="UmUNormal"/>
        <w:spacing w:after="0"/>
        <w:rPr>
          <w:rFonts w:ascii="open_sansregular" w:hAnsi="open_sansregular"/>
          <w:sz w:val="21"/>
          <w:szCs w:val="21"/>
        </w:rPr>
      </w:pPr>
    </w:p>
    <w:tbl>
      <w:tblPr>
        <w:tblW w:w="6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1263"/>
      </w:tblGrid>
      <w:tr w:rsidR="005659C1" w:rsidRPr="00B66C8B" w14:paraId="3307F6D5" w14:textId="77777777" w:rsidTr="008C7B2D">
        <w:trPr>
          <w:trHeight w:val="63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1B69" w14:textId="77777777" w:rsidR="005659C1" w:rsidRPr="008C7B2D" w:rsidRDefault="005659C1" w:rsidP="00606DA7">
            <w:pPr>
              <w:rPr>
                <w:rFonts w:ascii="TradeGothic" w:hAnsi="TradeGothic" w:cs="Calibri"/>
                <w:bCs/>
                <w:color w:val="000000"/>
                <w:sz w:val="20"/>
                <w:szCs w:val="20"/>
              </w:rPr>
            </w:pPr>
            <w:bookmarkStart w:id="0" w:name="RANGE!C3"/>
            <w:r w:rsidRPr="008C7B2D">
              <w:rPr>
                <w:rFonts w:ascii="TradeGothic" w:hAnsi="TradeGothic" w:cs="Calibri"/>
                <w:bCs/>
                <w:color w:val="000000"/>
                <w:sz w:val="20"/>
                <w:szCs w:val="20"/>
              </w:rPr>
              <w:t xml:space="preserve">Förslag till reformer och finansiering i propositionen </w:t>
            </w:r>
            <w:proofErr w:type="spellStart"/>
            <w:r w:rsidRPr="008C7B2D">
              <w:rPr>
                <w:rFonts w:ascii="TradeGothic" w:hAnsi="TradeGothic" w:cs="Calibri"/>
                <w:bCs/>
                <w:color w:val="000000"/>
                <w:sz w:val="20"/>
                <w:szCs w:val="20"/>
              </w:rPr>
              <w:t>Vårändringsbudget</w:t>
            </w:r>
            <w:proofErr w:type="spellEnd"/>
            <w:r w:rsidRPr="008C7B2D">
              <w:rPr>
                <w:rFonts w:ascii="TradeGothic" w:hAnsi="TradeGothic" w:cs="Calibri"/>
                <w:bCs/>
                <w:color w:val="000000"/>
                <w:sz w:val="20"/>
                <w:szCs w:val="20"/>
              </w:rPr>
              <w:t xml:space="preserve"> för 2019</w:t>
            </w:r>
            <w:bookmarkEnd w:id="0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3A57" w14:textId="77777777" w:rsidR="005659C1" w:rsidRPr="008C7B2D" w:rsidRDefault="005659C1" w:rsidP="00606DA7">
            <w:pPr>
              <w:rPr>
                <w:rFonts w:ascii="TradeGothic" w:hAnsi="TradeGothic" w:cs="Calibri"/>
                <w:b/>
                <w:bCs/>
                <w:color w:val="000000"/>
                <w:sz w:val="20"/>
                <w:szCs w:val="20"/>
              </w:rPr>
            </w:pPr>
            <w:r w:rsidRPr="008C7B2D">
              <w:rPr>
                <w:rFonts w:ascii="TradeGothic" w:hAnsi="TradeGothic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C7B2D"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  <w:t>Miljoner kronor</w:t>
            </w:r>
          </w:p>
        </w:tc>
      </w:tr>
      <w:tr w:rsidR="005659C1" w:rsidRPr="00B66C8B" w14:paraId="77ECADA1" w14:textId="77777777" w:rsidTr="008C7B2D">
        <w:trPr>
          <w:trHeight w:val="395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5A8" w14:textId="77777777" w:rsidR="005659C1" w:rsidRPr="008C7B2D" w:rsidRDefault="005659C1" w:rsidP="00606DA7">
            <w:pPr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  <w:t>Fler ska komma i arbete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A46D" w14:textId="77777777" w:rsidR="005659C1" w:rsidRPr="008C7B2D" w:rsidRDefault="005659C1" w:rsidP="00606DA7">
            <w:pPr>
              <w:jc w:val="right"/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  <w:t>1120</w:t>
            </w:r>
          </w:p>
        </w:tc>
      </w:tr>
      <w:tr w:rsidR="005659C1" w:rsidRPr="00B66C8B" w14:paraId="3C1041A7" w14:textId="77777777" w:rsidTr="008C7B2D">
        <w:trPr>
          <w:trHeight w:val="395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F6FE" w14:textId="77777777" w:rsidR="005659C1" w:rsidRPr="008C7B2D" w:rsidRDefault="005659C1" w:rsidP="00606DA7">
            <w:pPr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  <w:t>Välfärden ska stärkas</w:t>
            </w:r>
            <w:r w:rsidRPr="008C7B2D"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1B3" w14:textId="77777777" w:rsidR="005659C1" w:rsidRPr="008C7B2D" w:rsidRDefault="005659C1" w:rsidP="00606DA7">
            <w:pPr>
              <w:jc w:val="right"/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  <w:t>926</w:t>
            </w:r>
          </w:p>
        </w:tc>
      </w:tr>
      <w:tr w:rsidR="005659C1" w:rsidRPr="00B66C8B" w14:paraId="04845C64" w14:textId="77777777" w:rsidTr="008C7B2D">
        <w:trPr>
          <w:trHeight w:val="395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6CC" w14:textId="77777777" w:rsidR="005659C1" w:rsidRPr="008C7B2D" w:rsidRDefault="005659C1" w:rsidP="00606DA7">
            <w:pPr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  <w:t>Hela landet ska växa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5DD" w14:textId="77777777" w:rsidR="005659C1" w:rsidRPr="008C7B2D" w:rsidRDefault="005659C1" w:rsidP="00606DA7">
            <w:pPr>
              <w:jc w:val="right"/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  <w:t>507</w:t>
            </w:r>
          </w:p>
        </w:tc>
      </w:tr>
      <w:tr w:rsidR="005659C1" w:rsidRPr="00B66C8B" w14:paraId="539706C1" w14:textId="77777777" w:rsidTr="008C7B2D">
        <w:trPr>
          <w:trHeight w:val="395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1848" w14:textId="77777777" w:rsidR="005659C1" w:rsidRPr="008C7B2D" w:rsidRDefault="005659C1" w:rsidP="00606DA7">
            <w:pPr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  <w:t>Sverige ska bli ett fossilfritt föregångsland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595" w14:textId="77777777" w:rsidR="005659C1" w:rsidRPr="008C7B2D" w:rsidRDefault="005659C1" w:rsidP="00606DA7">
            <w:pPr>
              <w:jc w:val="right"/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color w:val="000000"/>
                <w:sz w:val="20"/>
                <w:szCs w:val="20"/>
              </w:rPr>
              <w:t>1950</w:t>
            </w:r>
          </w:p>
        </w:tc>
      </w:tr>
      <w:tr w:rsidR="005659C1" w:rsidRPr="00B66C8B" w14:paraId="709085E4" w14:textId="77777777" w:rsidTr="008C7B2D">
        <w:trPr>
          <w:trHeight w:val="395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D3E" w14:textId="77777777" w:rsidR="005659C1" w:rsidRPr="008C7B2D" w:rsidRDefault="005659C1" w:rsidP="00606DA7">
            <w:pPr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  <w:t>Summa reformer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1947" w14:textId="77777777" w:rsidR="005659C1" w:rsidRPr="008C7B2D" w:rsidRDefault="005659C1" w:rsidP="00606DA7">
            <w:pPr>
              <w:jc w:val="right"/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</w:pPr>
            <w:r w:rsidRPr="008C7B2D">
              <w:rPr>
                <w:rFonts w:ascii="TradeGothic CondEighteen" w:hAnsi="TradeGothic CondEighteen" w:cs="Calibri"/>
                <w:b/>
                <w:bCs/>
                <w:color w:val="000000"/>
                <w:sz w:val="20"/>
                <w:szCs w:val="20"/>
              </w:rPr>
              <w:t>4503</w:t>
            </w:r>
          </w:p>
        </w:tc>
      </w:tr>
    </w:tbl>
    <w:p w14:paraId="736D7882" w14:textId="77777777" w:rsidR="005659C1" w:rsidRDefault="005659C1" w:rsidP="005659C1">
      <w:pPr>
        <w:jc w:val="both"/>
        <w:rPr>
          <w:sz w:val="22"/>
          <w:szCs w:val="22"/>
        </w:rPr>
      </w:pPr>
    </w:p>
    <w:p w14:paraId="24443523" w14:textId="77777777" w:rsidR="005659C1" w:rsidRDefault="005659C1" w:rsidP="005659C1">
      <w:pPr>
        <w:pStyle w:val="UmURubrik2"/>
      </w:pPr>
      <w:r w:rsidRPr="004E167A">
        <w:lastRenderedPageBreak/>
        <w:t>Utgiftsområde 16: Utbildning och universitetsforsknin</w:t>
      </w:r>
      <w:r>
        <w:t>g</w:t>
      </w:r>
    </w:p>
    <w:p w14:paraId="67B75595" w14:textId="77777777" w:rsidR="005659C1" w:rsidRPr="000C58C5" w:rsidRDefault="005659C1" w:rsidP="005659C1">
      <w:pPr>
        <w:pStyle w:val="UmUNormal"/>
        <w:spacing w:after="0"/>
      </w:pPr>
    </w:p>
    <w:p w14:paraId="7B3181CA" w14:textId="0C2E6F23" w:rsidR="00722187" w:rsidRDefault="00722187" w:rsidP="005659C1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Umeå universitet</w:t>
      </w:r>
    </w:p>
    <w:p w14:paraId="6C6A39F3" w14:textId="3EB50AAB" w:rsidR="00722187" w:rsidRDefault="00722187" w:rsidP="005659C1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22187">
        <w:rPr>
          <w:rFonts w:ascii="Georgia" w:hAnsi="Georgia"/>
          <w:sz w:val="22"/>
          <w:szCs w:val="22"/>
        </w:rPr>
        <w:t xml:space="preserve">Umeå universitet erhåller i </w:t>
      </w:r>
      <w:proofErr w:type="spellStart"/>
      <w:r w:rsidRPr="00722187">
        <w:rPr>
          <w:rFonts w:ascii="Georgia" w:hAnsi="Georgia"/>
          <w:sz w:val="22"/>
          <w:szCs w:val="22"/>
        </w:rPr>
        <w:t>vårändringsbudget</w:t>
      </w:r>
      <w:proofErr w:type="spellEnd"/>
      <w:r w:rsidRPr="00722187">
        <w:rPr>
          <w:rFonts w:ascii="Georgia" w:hAnsi="Georgia"/>
          <w:sz w:val="22"/>
          <w:szCs w:val="22"/>
        </w:rPr>
        <w:t xml:space="preserve"> ett ökat anslag med 6,3 mnkr år 2019</w:t>
      </w:r>
      <w:r>
        <w:rPr>
          <w:rFonts w:ascii="Georgia" w:hAnsi="Georgia"/>
          <w:sz w:val="22"/>
          <w:szCs w:val="22"/>
        </w:rPr>
        <w:t xml:space="preserve"> inom utbildning på grund- och avancerad nivå. </w:t>
      </w:r>
      <w:bookmarkStart w:id="1" w:name="_GoBack"/>
      <w:bookmarkEnd w:id="1"/>
      <w:r w:rsidRPr="00DA57FD">
        <w:rPr>
          <w:rFonts w:ascii="Georgia" w:hAnsi="Georgia"/>
          <w:sz w:val="22"/>
          <w:szCs w:val="22"/>
        </w:rPr>
        <w:t xml:space="preserve">Det är </w:t>
      </w:r>
      <w:r w:rsidR="005D0BBE" w:rsidRPr="00DA57FD">
        <w:rPr>
          <w:rFonts w:ascii="Georgia" w:hAnsi="Georgia"/>
          <w:sz w:val="22"/>
          <w:szCs w:val="22"/>
        </w:rPr>
        <w:t>en minskning</w:t>
      </w:r>
      <w:r w:rsidRPr="00DA57FD">
        <w:rPr>
          <w:rFonts w:ascii="Georgia" w:hAnsi="Georgia"/>
          <w:sz w:val="22"/>
          <w:szCs w:val="22"/>
        </w:rPr>
        <w:t xml:space="preserve"> utifrån regeringens tidigare planerade utbyggnad av platser inom utbildning. </w:t>
      </w:r>
      <w:r>
        <w:rPr>
          <w:rFonts w:ascii="Georgia" w:hAnsi="Georgia"/>
          <w:sz w:val="22"/>
          <w:szCs w:val="22"/>
        </w:rPr>
        <w:t xml:space="preserve">Regeringen har justerat ned anslagsökning för Umeå universitet och andra lärosäten beroende på att en del av budgetåret redan har förflutit. Totalt i riket reduceras anslagsökningen från 141 mnkr till 94 mnkr år 2019. </w:t>
      </w:r>
    </w:p>
    <w:p w14:paraId="41024097" w14:textId="24F2E6EA" w:rsidR="00722187" w:rsidRDefault="00722187" w:rsidP="005659C1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14:paraId="1591703C" w14:textId="7ED4F289" w:rsidR="00722187" w:rsidRDefault="00722187" w:rsidP="005659C1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Umeå universitet erhåller ett ökat anslag</w:t>
      </w:r>
      <w:r w:rsidR="00EE0C8B">
        <w:rPr>
          <w:rFonts w:ascii="Georgia" w:hAnsi="Georgia"/>
          <w:sz w:val="22"/>
          <w:szCs w:val="22"/>
        </w:rPr>
        <w:t xml:space="preserve"> med 12,7 mnkr år 2019 inom fors</w:t>
      </w:r>
      <w:r>
        <w:rPr>
          <w:rFonts w:ascii="Georgia" w:hAnsi="Georgia"/>
          <w:sz w:val="22"/>
          <w:szCs w:val="22"/>
        </w:rPr>
        <w:t xml:space="preserve">kning och utbildning på forskarnivå. Denna ökning är ca 0,4 mnkr lägre än vad regeringen aviserade i budgetpropositionen 2018, troligen beroende på att utfall i parametrarna förändrats i riket. Totalt fördelar regeringen ut 250 mnkr i ökade anslag år 2019, vilket är samma belopp som anges i budgetpropositionen 2018 och i gällande FOI-proposition. </w:t>
      </w:r>
    </w:p>
    <w:p w14:paraId="5BFF031A" w14:textId="77CEBE44" w:rsidR="00722187" w:rsidRDefault="00722187" w:rsidP="005659C1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14:paraId="51663508" w14:textId="53B6759D" w:rsidR="00722187" w:rsidRDefault="00722187" w:rsidP="005659C1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Både ovan angivna tillskott ingår i Umeå universitets beslutade budget år 2019. </w:t>
      </w:r>
    </w:p>
    <w:p w14:paraId="19CAF728" w14:textId="1574DE0C" w:rsidR="00722187" w:rsidRDefault="00722187" w:rsidP="005659C1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14:paraId="3F772C81" w14:textId="3B9E704A" w:rsidR="00722187" w:rsidRPr="00722187" w:rsidRDefault="00722187" w:rsidP="005659C1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År 2020 är </w:t>
      </w:r>
      <w:r w:rsidR="00EE0C8B">
        <w:rPr>
          <w:rFonts w:ascii="Georgia" w:hAnsi="Georgia"/>
          <w:sz w:val="22"/>
          <w:szCs w:val="22"/>
        </w:rPr>
        <w:t>pris- och löne</w:t>
      </w:r>
      <w:r>
        <w:rPr>
          <w:rFonts w:ascii="Georgia" w:hAnsi="Georgia"/>
          <w:sz w:val="22"/>
          <w:szCs w:val="22"/>
        </w:rPr>
        <w:t>index</w:t>
      </w:r>
      <w:r w:rsidR="00EE0C8B">
        <w:rPr>
          <w:rFonts w:ascii="Georgia" w:hAnsi="Georgia"/>
          <w:sz w:val="22"/>
          <w:szCs w:val="22"/>
        </w:rPr>
        <w:t xml:space="preserve"> (högskoleindex)</w:t>
      </w:r>
      <w:r>
        <w:rPr>
          <w:rFonts w:ascii="Georgia" w:hAnsi="Georgia"/>
          <w:sz w:val="22"/>
          <w:szCs w:val="22"/>
        </w:rPr>
        <w:t xml:space="preserve"> satt till 1,91 procent, vilket är högre än 2019 års nivå. I vårpropositionen 2020 ingår inga tillkommande satsningar på lärosäten, vare sig inom utbildning eller</w:t>
      </w:r>
      <w:r w:rsidR="00EE0C8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forskning samt utbildning på forskarnivå. </w:t>
      </w:r>
    </w:p>
    <w:p w14:paraId="7E05AAEA" w14:textId="77777777" w:rsidR="00722187" w:rsidRDefault="00722187" w:rsidP="005659C1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14:paraId="7F5B151C" w14:textId="03A57853" w:rsidR="005659C1" w:rsidRDefault="005659C1" w:rsidP="005659C1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5659C1">
        <w:rPr>
          <w:rFonts w:ascii="Georgia" w:hAnsi="Georgia"/>
          <w:b/>
          <w:sz w:val="22"/>
          <w:szCs w:val="22"/>
        </w:rPr>
        <w:t>Universitetskanslersämbetet – Ökat anslag med 5 mkr</w:t>
      </w:r>
    </w:p>
    <w:p w14:paraId="6445C729" w14:textId="77777777" w:rsidR="005659C1" w:rsidRPr="005659C1" w:rsidRDefault="005659C1" w:rsidP="005659C1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659C1">
        <w:rPr>
          <w:rFonts w:ascii="Georgia" w:hAnsi="Georgia"/>
          <w:sz w:val="22"/>
          <w:szCs w:val="22"/>
        </w:rPr>
        <w:t xml:space="preserve">Med anledning av uppdraget till </w:t>
      </w:r>
      <w:proofErr w:type="gramStart"/>
      <w:r w:rsidRPr="005659C1">
        <w:rPr>
          <w:rFonts w:ascii="Georgia" w:hAnsi="Georgia"/>
          <w:sz w:val="22"/>
          <w:szCs w:val="22"/>
        </w:rPr>
        <w:t>Universitetskanslersämbetet  (</w:t>
      </w:r>
      <w:proofErr w:type="gramEnd"/>
      <w:r w:rsidRPr="005659C1">
        <w:rPr>
          <w:rFonts w:ascii="Georgia" w:hAnsi="Georgia"/>
          <w:sz w:val="22"/>
          <w:szCs w:val="22"/>
        </w:rPr>
        <w:t>UKÄ) att</w:t>
      </w:r>
      <w:r w:rsidRPr="00E02C3E">
        <w:rPr>
          <w:rFonts w:ascii="Georgia" w:hAnsi="Georgia"/>
          <w:sz w:val="22"/>
          <w:szCs w:val="22"/>
        </w:rPr>
        <w:t xml:space="preserve"> även forskning ska ingå i kvalitetssäkringssystemet</w:t>
      </w:r>
      <w:r w:rsidRPr="005659C1">
        <w:rPr>
          <w:rFonts w:ascii="Georgia" w:hAnsi="Georgia"/>
          <w:sz w:val="22"/>
          <w:szCs w:val="22"/>
        </w:rPr>
        <w:t xml:space="preserve"> </w:t>
      </w:r>
      <w:r w:rsidRPr="00E02C3E">
        <w:rPr>
          <w:rFonts w:ascii="Georgia" w:hAnsi="Georgia"/>
          <w:sz w:val="22"/>
          <w:szCs w:val="22"/>
        </w:rPr>
        <w:t xml:space="preserve">tillförs </w:t>
      </w:r>
      <w:r w:rsidRPr="005659C1">
        <w:rPr>
          <w:rFonts w:ascii="Georgia" w:hAnsi="Georgia"/>
          <w:sz w:val="22"/>
          <w:szCs w:val="22"/>
        </w:rPr>
        <w:t xml:space="preserve">myndigheten mer medel </w:t>
      </w:r>
      <w:r w:rsidRPr="00E02C3E">
        <w:rPr>
          <w:rFonts w:ascii="Georgia" w:hAnsi="Georgia"/>
          <w:sz w:val="22"/>
          <w:szCs w:val="22"/>
        </w:rPr>
        <w:t xml:space="preserve">för att uppdraget ska kunna genomföras på ett bra sätt. Regeringen anser därför att anslaget </w:t>
      </w:r>
      <w:r w:rsidRPr="005659C1">
        <w:rPr>
          <w:rFonts w:ascii="Georgia" w:hAnsi="Georgia"/>
          <w:sz w:val="22"/>
          <w:szCs w:val="22"/>
        </w:rPr>
        <w:t xml:space="preserve">till UKÄ </w:t>
      </w:r>
      <w:r w:rsidRPr="00E02C3E">
        <w:rPr>
          <w:rFonts w:ascii="Georgia" w:hAnsi="Georgia"/>
          <w:sz w:val="22"/>
          <w:szCs w:val="22"/>
        </w:rPr>
        <w:t xml:space="preserve">bör ökas med 5 </w:t>
      </w:r>
      <w:r w:rsidRPr="005659C1">
        <w:rPr>
          <w:rFonts w:ascii="Georgia" w:hAnsi="Georgia"/>
          <w:sz w:val="22"/>
          <w:szCs w:val="22"/>
        </w:rPr>
        <w:t>mkr.</w:t>
      </w:r>
    </w:p>
    <w:p w14:paraId="63F650A0" w14:textId="77777777" w:rsidR="005659C1" w:rsidRPr="005659C1" w:rsidRDefault="005659C1" w:rsidP="005659C1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14:paraId="7B7FF711" w14:textId="6BBAFCCA" w:rsidR="005659C1" w:rsidRPr="005659C1" w:rsidRDefault="005659C1" w:rsidP="005659C1">
      <w:pPr>
        <w:jc w:val="both"/>
        <w:rPr>
          <w:rFonts w:ascii="Georgia" w:hAnsi="Georgia"/>
          <w:sz w:val="22"/>
          <w:szCs w:val="22"/>
        </w:rPr>
      </w:pPr>
      <w:r w:rsidRPr="005659C1">
        <w:rPr>
          <w:rFonts w:ascii="Georgia" w:hAnsi="Georgia"/>
          <w:b/>
          <w:sz w:val="22"/>
          <w:szCs w:val="22"/>
        </w:rPr>
        <w:t xml:space="preserve">Universitets- och </w:t>
      </w:r>
      <w:proofErr w:type="gramStart"/>
      <w:r w:rsidRPr="005659C1">
        <w:rPr>
          <w:rFonts w:ascii="Georgia" w:hAnsi="Georgia"/>
          <w:b/>
          <w:sz w:val="22"/>
          <w:szCs w:val="22"/>
        </w:rPr>
        <w:t>högskolerådet  -</w:t>
      </w:r>
      <w:proofErr w:type="gramEnd"/>
      <w:r w:rsidRPr="005659C1">
        <w:rPr>
          <w:rFonts w:ascii="Georgia" w:hAnsi="Georgia"/>
          <w:b/>
          <w:sz w:val="22"/>
          <w:szCs w:val="22"/>
        </w:rPr>
        <w:t xml:space="preserve"> </w:t>
      </w:r>
      <w:r w:rsidR="008C7B2D">
        <w:rPr>
          <w:rFonts w:ascii="Georgia" w:hAnsi="Georgia"/>
          <w:b/>
          <w:sz w:val="22"/>
          <w:szCs w:val="22"/>
        </w:rPr>
        <w:t>M</w:t>
      </w:r>
      <w:r w:rsidRPr="005659C1">
        <w:rPr>
          <w:rFonts w:ascii="Georgia" w:hAnsi="Georgia"/>
          <w:b/>
          <w:sz w:val="22"/>
          <w:szCs w:val="22"/>
        </w:rPr>
        <w:t>inskat anslag med 5 mkr</w:t>
      </w:r>
      <w:r w:rsidRPr="005659C1">
        <w:rPr>
          <w:rFonts w:ascii="Georgia" w:hAnsi="Georgia"/>
          <w:sz w:val="22"/>
          <w:szCs w:val="22"/>
        </w:rPr>
        <w:br/>
        <w:t>Universitets- och högskolerådet  (</w:t>
      </w:r>
      <w:proofErr w:type="spellStart"/>
      <w:r w:rsidRPr="005659C1">
        <w:rPr>
          <w:rFonts w:ascii="Georgia" w:hAnsi="Georgia"/>
          <w:sz w:val="22"/>
          <w:szCs w:val="22"/>
        </w:rPr>
        <w:t>UHR</w:t>
      </w:r>
      <w:proofErr w:type="spellEnd"/>
      <w:r w:rsidRPr="005659C1">
        <w:rPr>
          <w:rFonts w:ascii="Georgia" w:hAnsi="Georgia"/>
          <w:sz w:val="22"/>
          <w:szCs w:val="22"/>
        </w:rPr>
        <w:t xml:space="preserve">) får ett minskat anslag med 20 mkr </w:t>
      </w:r>
      <w:r>
        <w:rPr>
          <w:rFonts w:ascii="Georgia" w:hAnsi="Georgia"/>
          <w:sz w:val="22"/>
          <w:szCs w:val="22"/>
        </w:rPr>
        <w:t xml:space="preserve">gällande </w:t>
      </w:r>
      <w:r w:rsidRPr="005659C1">
        <w:rPr>
          <w:rFonts w:ascii="Georgia" w:hAnsi="Georgia"/>
          <w:sz w:val="22"/>
          <w:szCs w:val="22"/>
        </w:rPr>
        <w:t>arbetet med bedömning av utländsk utbildning samt reell kompetens då Regeringen bedömer att det tidigare givna tillskottet inte är nödvändigt för att uppnå syftet</w:t>
      </w:r>
      <w:r>
        <w:rPr>
          <w:rFonts w:ascii="Georgia" w:hAnsi="Georgia"/>
          <w:sz w:val="22"/>
          <w:szCs w:val="22"/>
        </w:rPr>
        <w:t xml:space="preserve"> med uppdraget</w:t>
      </w:r>
      <w:r w:rsidRPr="005659C1">
        <w:rPr>
          <w:rFonts w:ascii="Georgia" w:hAnsi="Georgia"/>
          <w:sz w:val="22"/>
          <w:szCs w:val="22"/>
        </w:rPr>
        <w:t xml:space="preserve">. För att stimulera utveckling av distansstudier bör </w:t>
      </w:r>
      <w:proofErr w:type="spellStart"/>
      <w:r w:rsidRPr="005659C1">
        <w:rPr>
          <w:rFonts w:ascii="Georgia" w:hAnsi="Georgia"/>
          <w:sz w:val="22"/>
          <w:szCs w:val="22"/>
        </w:rPr>
        <w:t>UHR</w:t>
      </w:r>
      <w:proofErr w:type="spellEnd"/>
      <w:r w:rsidRPr="005659C1">
        <w:rPr>
          <w:rFonts w:ascii="Georgia" w:hAnsi="Georgia"/>
          <w:sz w:val="22"/>
          <w:szCs w:val="22"/>
        </w:rPr>
        <w:t xml:space="preserve"> tillföras ytterligare medel. Anslaget bör därför ökas med 10 miljoner kronor för detta ändamål. Vidare be</w:t>
      </w:r>
      <w:r>
        <w:rPr>
          <w:rFonts w:ascii="Georgia" w:hAnsi="Georgia"/>
          <w:sz w:val="22"/>
          <w:szCs w:val="22"/>
        </w:rPr>
        <w:t>d</w:t>
      </w:r>
      <w:r w:rsidRPr="005659C1">
        <w:rPr>
          <w:rFonts w:ascii="Georgia" w:hAnsi="Georgia"/>
          <w:sz w:val="22"/>
          <w:szCs w:val="22"/>
        </w:rPr>
        <w:t>ömer regeringen att för att möjliggöra utvecklingen av en betygsdatabas</w:t>
      </w:r>
      <w:r>
        <w:rPr>
          <w:rFonts w:ascii="Georgia" w:hAnsi="Georgia"/>
          <w:sz w:val="22"/>
          <w:szCs w:val="22"/>
        </w:rPr>
        <w:t>,</w:t>
      </w:r>
      <w:r w:rsidRPr="005659C1">
        <w:rPr>
          <w:rFonts w:ascii="Georgia" w:hAnsi="Georgia"/>
          <w:sz w:val="22"/>
          <w:szCs w:val="22"/>
        </w:rPr>
        <w:t xml:space="preserve"> till stöd för reformen om rätt till behörighetsgivande utbildning inom </w:t>
      </w:r>
      <w:proofErr w:type="spellStart"/>
      <w:r w:rsidRPr="005659C1">
        <w:rPr>
          <w:rFonts w:ascii="Georgia" w:hAnsi="Georgia"/>
          <w:sz w:val="22"/>
          <w:szCs w:val="22"/>
        </w:rPr>
        <w:t>komvux</w:t>
      </w:r>
      <w:proofErr w:type="spellEnd"/>
      <w:r>
        <w:rPr>
          <w:rFonts w:ascii="Georgia" w:hAnsi="Georgia"/>
          <w:sz w:val="22"/>
          <w:szCs w:val="22"/>
        </w:rPr>
        <w:t>,</w:t>
      </w:r>
      <w:r w:rsidRPr="005659C1">
        <w:rPr>
          <w:rFonts w:ascii="Georgia" w:hAnsi="Georgia"/>
          <w:sz w:val="22"/>
          <w:szCs w:val="22"/>
        </w:rPr>
        <w:t xml:space="preserve"> bör anslaget till </w:t>
      </w:r>
      <w:proofErr w:type="spellStart"/>
      <w:r w:rsidRPr="005659C1">
        <w:rPr>
          <w:rFonts w:ascii="Georgia" w:hAnsi="Georgia"/>
          <w:sz w:val="22"/>
          <w:szCs w:val="22"/>
        </w:rPr>
        <w:t>UHR</w:t>
      </w:r>
      <w:proofErr w:type="spellEnd"/>
      <w:r w:rsidRPr="005659C1">
        <w:rPr>
          <w:rFonts w:ascii="Georgia" w:hAnsi="Georgia"/>
          <w:sz w:val="22"/>
          <w:szCs w:val="22"/>
        </w:rPr>
        <w:t xml:space="preserve"> inom </w:t>
      </w:r>
      <w:r>
        <w:rPr>
          <w:rFonts w:ascii="Georgia" w:hAnsi="Georgia"/>
          <w:sz w:val="22"/>
          <w:szCs w:val="22"/>
        </w:rPr>
        <w:t xml:space="preserve">detta </w:t>
      </w:r>
      <w:r w:rsidRPr="005659C1">
        <w:rPr>
          <w:rFonts w:ascii="Georgia" w:hAnsi="Georgia"/>
          <w:sz w:val="22"/>
          <w:szCs w:val="22"/>
        </w:rPr>
        <w:t xml:space="preserve">område ökas med 5 </w:t>
      </w:r>
      <w:r>
        <w:rPr>
          <w:rFonts w:ascii="Georgia" w:hAnsi="Georgia"/>
          <w:sz w:val="22"/>
          <w:szCs w:val="22"/>
        </w:rPr>
        <w:t>mkr</w:t>
      </w:r>
      <w:r w:rsidRPr="005659C1">
        <w:rPr>
          <w:rFonts w:ascii="Georgia" w:hAnsi="Georgia"/>
          <w:sz w:val="22"/>
          <w:szCs w:val="22"/>
        </w:rPr>
        <w:t xml:space="preserve">.  Sammantaget innebär det en minskning av anslaget om 5 mkr till </w:t>
      </w:r>
      <w:proofErr w:type="spellStart"/>
      <w:r w:rsidRPr="005659C1">
        <w:rPr>
          <w:rFonts w:ascii="Georgia" w:hAnsi="Georgia"/>
          <w:sz w:val="22"/>
          <w:szCs w:val="22"/>
        </w:rPr>
        <w:t>UHR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77364B6C" w14:textId="77777777" w:rsidR="005659C1" w:rsidRPr="005659C1" w:rsidRDefault="005659C1" w:rsidP="005659C1">
      <w:pPr>
        <w:jc w:val="both"/>
        <w:rPr>
          <w:rFonts w:ascii="Georgia" w:hAnsi="Georgia"/>
          <w:sz w:val="22"/>
          <w:szCs w:val="22"/>
        </w:rPr>
      </w:pPr>
    </w:p>
    <w:p w14:paraId="78F85F00" w14:textId="0BC17B92" w:rsidR="005659C1" w:rsidRPr="005659C1" w:rsidRDefault="005659C1" w:rsidP="005659C1">
      <w:pPr>
        <w:jc w:val="both"/>
        <w:rPr>
          <w:rFonts w:ascii="Georgia" w:hAnsi="Georgia"/>
          <w:b/>
          <w:sz w:val="22"/>
          <w:szCs w:val="22"/>
        </w:rPr>
      </w:pPr>
      <w:r w:rsidRPr="005659C1">
        <w:rPr>
          <w:rFonts w:ascii="Georgia" w:hAnsi="Georgia"/>
          <w:b/>
          <w:sz w:val="22"/>
          <w:szCs w:val="22"/>
        </w:rPr>
        <w:t xml:space="preserve">Vetenskapsrådet – </w:t>
      </w:r>
      <w:r w:rsidR="008C7B2D">
        <w:rPr>
          <w:rFonts w:ascii="Georgia" w:hAnsi="Georgia"/>
          <w:b/>
          <w:sz w:val="22"/>
          <w:szCs w:val="22"/>
        </w:rPr>
        <w:t>M</w:t>
      </w:r>
      <w:r w:rsidRPr="005659C1">
        <w:rPr>
          <w:rFonts w:ascii="Georgia" w:hAnsi="Georgia"/>
          <w:b/>
          <w:sz w:val="22"/>
          <w:szCs w:val="22"/>
        </w:rPr>
        <w:t>inskat anslag med 84 mkr</w:t>
      </w:r>
    </w:p>
    <w:p w14:paraId="6B616B13" w14:textId="3728E6B5" w:rsidR="005659C1" w:rsidRDefault="005659C1" w:rsidP="005659C1">
      <w:pPr>
        <w:jc w:val="both"/>
        <w:rPr>
          <w:rFonts w:ascii="Georgia" w:hAnsi="Georgia"/>
          <w:sz w:val="22"/>
          <w:szCs w:val="22"/>
        </w:rPr>
      </w:pPr>
      <w:r w:rsidRPr="005659C1">
        <w:rPr>
          <w:rFonts w:ascii="Georgia" w:hAnsi="Georgia"/>
          <w:sz w:val="22"/>
          <w:szCs w:val="22"/>
        </w:rPr>
        <w:t xml:space="preserve">Vetenskapsrådet föreslås få ett minskat anslag med 84 mkr. Medel som idag bland annat används för stöd för forskning och forskningsinformation. Minskning finansierar ökade anslag till </w:t>
      </w:r>
      <w:r>
        <w:rPr>
          <w:rFonts w:ascii="Georgia" w:hAnsi="Georgia"/>
          <w:sz w:val="22"/>
          <w:szCs w:val="22"/>
        </w:rPr>
        <w:t xml:space="preserve">utgiftsområde </w:t>
      </w:r>
      <w:r w:rsidRPr="005659C1">
        <w:rPr>
          <w:rFonts w:ascii="Georgia" w:hAnsi="Georgia"/>
          <w:sz w:val="22"/>
          <w:szCs w:val="22"/>
        </w:rPr>
        <w:t xml:space="preserve">Rymdforskning och rymdverksamhet där utgifterna för de svenska åtagandena gentemot Europeiska rymdorganisationen förväntas </w:t>
      </w:r>
      <w:proofErr w:type="gramStart"/>
      <w:r w:rsidRPr="005659C1">
        <w:rPr>
          <w:rFonts w:ascii="Georgia" w:hAnsi="Georgia"/>
          <w:sz w:val="22"/>
          <w:szCs w:val="22"/>
        </w:rPr>
        <w:t>öka  samt</w:t>
      </w:r>
      <w:proofErr w:type="gramEnd"/>
      <w:r w:rsidRPr="005659C1">
        <w:rPr>
          <w:rFonts w:ascii="Georgia" w:hAnsi="Georgia"/>
          <w:sz w:val="22"/>
          <w:szCs w:val="22"/>
        </w:rPr>
        <w:t xml:space="preserve"> mer medel Etikprövningsmyndigheten. För Etikprövningsmyndigheten gäller ökning av anslaget en finansiering av bland annat kostnaderna för </w:t>
      </w:r>
      <w:r>
        <w:rPr>
          <w:rFonts w:ascii="Georgia" w:hAnsi="Georgia"/>
          <w:sz w:val="22"/>
          <w:szCs w:val="22"/>
        </w:rPr>
        <w:t>rådets</w:t>
      </w:r>
      <w:r w:rsidRPr="005659C1">
        <w:rPr>
          <w:rFonts w:ascii="Georgia" w:hAnsi="Georgia"/>
          <w:sz w:val="22"/>
          <w:szCs w:val="22"/>
        </w:rPr>
        <w:t xml:space="preserve"> nya ärendehanteringssystem för bl.a. etikprövning av forskning som skulle ha varit klart till bildandet av den nya myndigheten men som fortfarande är under utveckling. </w:t>
      </w:r>
    </w:p>
    <w:p w14:paraId="13559D49" w14:textId="77777777" w:rsidR="005659C1" w:rsidRPr="005659C1" w:rsidRDefault="005659C1" w:rsidP="005659C1">
      <w:pPr>
        <w:jc w:val="both"/>
        <w:rPr>
          <w:rFonts w:ascii="Georgia" w:hAnsi="Georgia"/>
          <w:sz w:val="22"/>
          <w:szCs w:val="22"/>
        </w:rPr>
      </w:pPr>
    </w:p>
    <w:p w14:paraId="567FA3DA" w14:textId="77777777" w:rsidR="005659C1" w:rsidRPr="005659C1" w:rsidRDefault="005659C1" w:rsidP="005659C1">
      <w:pPr>
        <w:jc w:val="both"/>
        <w:rPr>
          <w:rFonts w:ascii="Georgia" w:hAnsi="Georgia"/>
          <w:sz w:val="22"/>
          <w:szCs w:val="22"/>
        </w:rPr>
      </w:pPr>
    </w:p>
    <w:p w14:paraId="79BDD415" w14:textId="77777777" w:rsidR="005659C1" w:rsidRPr="005659C1" w:rsidRDefault="005659C1" w:rsidP="005659C1">
      <w:pPr>
        <w:jc w:val="both"/>
        <w:rPr>
          <w:rFonts w:ascii="Georgia" w:hAnsi="Georgia"/>
          <w:sz w:val="22"/>
          <w:szCs w:val="22"/>
        </w:rPr>
      </w:pPr>
    </w:p>
    <w:p w14:paraId="027E2D6F" w14:textId="77777777" w:rsidR="005659C1" w:rsidRPr="005659C1" w:rsidRDefault="005659C1" w:rsidP="005659C1">
      <w:pPr>
        <w:jc w:val="both"/>
        <w:rPr>
          <w:rFonts w:ascii="Georgia" w:hAnsi="Georgia" w:cs="Arial"/>
          <w:sz w:val="22"/>
          <w:szCs w:val="22"/>
        </w:rPr>
      </w:pPr>
    </w:p>
    <w:p w14:paraId="3DA19BEB" w14:textId="77777777" w:rsidR="00B950A5" w:rsidRPr="005659C1" w:rsidRDefault="00B950A5" w:rsidP="005659C1">
      <w:pPr>
        <w:jc w:val="both"/>
        <w:rPr>
          <w:rFonts w:ascii="Georgia" w:hAnsi="Georgia"/>
          <w:sz w:val="22"/>
          <w:szCs w:val="22"/>
        </w:rPr>
      </w:pPr>
    </w:p>
    <w:sectPr w:rsidR="00B950A5" w:rsidRPr="005659C1" w:rsidSect="00586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005" w:right="1418" w:bottom="1304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D7CD6" w14:textId="77777777" w:rsidR="007B435A" w:rsidRDefault="007B435A">
      <w:r>
        <w:separator/>
      </w:r>
    </w:p>
  </w:endnote>
  <w:endnote w:type="continuationSeparator" w:id="0">
    <w:p w14:paraId="79FA0511" w14:textId="77777777" w:rsidR="007B435A" w:rsidRDefault="007B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_sansregular">
    <w:altName w:val="Times New Roman"/>
    <w:panose1 w:val="020B0604020202020204"/>
    <w:charset w:val="00"/>
    <w:family w:val="auto"/>
    <w:pitch w:val="default"/>
  </w:font>
  <w:font w:name="TradeGothic">
    <w:altName w:val="Cambria"/>
    <w:panose1 w:val="020B0604020202020204"/>
    <w:charset w:val="00"/>
    <w:family w:val="roman"/>
    <w:notTrueType/>
    <w:pitch w:val="default"/>
  </w:font>
  <w:font w:name="TradeGothic CondEighteen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9833" w14:textId="77777777" w:rsidR="008C7B2D" w:rsidRDefault="008C7B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ED32" w14:textId="77777777" w:rsidR="008C7B2D" w:rsidRDefault="008C7B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983B" w14:textId="77777777" w:rsidR="008C7B2D" w:rsidRDefault="008C7B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A209" w14:textId="77777777" w:rsidR="007B435A" w:rsidRDefault="007B435A">
      <w:r>
        <w:separator/>
      </w:r>
    </w:p>
  </w:footnote>
  <w:footnote w:type="continuationSeparator" w:id="0">
    <w:p w14:paraId="7019BBC0" w14:textId="77777777" w:rsidR="007B435A" w:rsidRDefault="007B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29A4" w14:textId="77777777" w:rsidR="008C7B2D" w:rsidRDefault="008C7B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689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C37034" w14:paraId="73E03383" w14:textId="77777777" w:rsidTr="003025C7">
      <w:trPr>
        <w:trHeight w:val="426"/>
      </w:trPr>
      <w:tc>
        <w:tcPr>
          <w:tcW w:w="3437" w:type="dxa"/>
        </w:tcPr>
        <w:p w14:paraId="7BE760BC" w14:textId="5703E9F5" w:rsidR="00C37034" w:rsidRPr="002F104F" w:rsidRDefault="00B14FCD" w:rsidP="003025C7">
          <w:pPr>
            <w:pStyle w:val="Sidhuvud"/>
            <w:spacing w:after="0"/>
          </w:pPr>
          <w:r>
            <w:t>Planeringsenheten</w:t>
          </w:r>
          <w:r w:rsidR="008C7B2D">
            <w:br/>
            <w:t>Daniel Andersson</w:t>
          </w:r>
          <w:r w:rsidR="008C7B2D">
            <w:br/>
            <w:t>Per Ragnarsson</w:t>
          </w:r>
        </w:p>
        <w:p w14:paraId="7676FF62" w14:textId="77777777" w:rsidR="00C37034" w:rsidRDefault="007B435A" w:rsidP="003941A5">
          <w:pPr>
            <w:pStyle w:val="Sidhuvud"/>
            <w:spacing w:after="0"/>
          </w:pPr>
        </w:p>
      </w:tc>
      <w:tc>
        <w:tcPr>
          <w:tcW w:w="3438" w:type="dxa"/>
        </w:tcPr>
        <w:p w14:paraId="4E3052CE" w14:textId="77777777" w:rsidR="00C37034" w:rsidRDefault="00B14FCD" w:rsidP="003025C7">
          <w:pPr>
            <w:pStyle w:val="Sidhuvud"/>
            <w:spacing w:after="0"/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4134E090" wp14:editId="2497C53D">
                <wp:extent cx="1761254" cy="614181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EE57A96" w14:textId="77777777" w:rsidR="00C37034" w:rsidRDefault="00B14FCD" w:rsidP="003025C7">
          <w:pPr>
            <w:pStyle w:val="Sidhuvud"/>
            <w:spacing w:after="0"/>
            <w:jc w:val="right"/>
          </w:pPr>
          <w:r>
            <w:t>2019-04-10</w:t>
          </w:r>
        </w:p>
        <w:p w14:paraId="349C867D" w14:textId="3AC46F38" w:rsidR="00C37034" w:rsidRDefault="00B14FCD" w:rsidP="003025C7">
          <w:pPr>
            <w:pStyle w:val="Sidhuvud"/>
            <w:spacing w:after="0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E0C8B">
            <w:rPr>
              <w:noProof/>
            </w:rP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EE0C8B">
              <w:rPr>
                <w:noProof/>
              </w:rPr>
              <w:t>2</w:t>
            </w:r>
          </w:fldSimple>
          <w:r>
            <w:t xml:space="preserve">) </w:t>
          </w:r>
        </w:p>
      </w:tc>
    </w:tr>
  </w:tbl>
  <w:p w14:paraId="7B251B14" w14:textId="77777777" w:rsidR="00C37034" w:rsidRDefault="007B435A" w:rsidP="003025C7">
    <w:pPr>
      <w:pStyle w:val="Sidhuvud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C159" w14:textId="77777777" w:rsidR="00C37034" w:rsidRDefault="007B435A" w:rsidP="00743DA9">
    <w:pPr>
      <w:pStyle w:val="Sidhuvud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C1"/>
    <w:rsid w:val="003558B7"/>
    <w:rsid w:val="003D1DFD"/>
    <w:rsid w:val="00452A58"/>
    <w:rsid w:val="005659C1"/>
    <w:rsid w:val="005D0BBE"/>
    <w:rsid w:val="006E5B2A"/>
    <w:rsid w:val="00722187"/>
    <w:rsid w:val="00790C3B"/>
    <w:rsid w:val="007B435A"/>
    <w:rsid w:val="00817860"/>
    <w:rsid w:val="008C7B2D"/>
    <w:rsid w:val="00AB78EE"/>
    <w:rsid w:val="00B14FCD"/>
    <w:rsid w:val="00B950A5"/>
    <w:rsid w:val="00DA57FD"/>
    <w:rsid w:val="00EE0C8B"/>
    <w:rsid w:val="00F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6F3A"/>
  <w15:chartTrackingRefBased/>
  <w15:docId w15:val="{9AFB08C1-DEAA-524C-9DC9-37E310AE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C1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659C1"/>
    <w:pPr>
      <w:tabs>
        <w:tab w:val="center" w:pos="4536"/>
        <w:tab w:val="right" w:pos="9072"/>
      </w:tabs>
      <w:spacing w:after="200"/>
    </w:pPr>
    <w:rPr>
      <w:rFonts w:ascii="Verdana" w:eastAsia="Cambria" w:hAnsi="Verdana"/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659C1"/>
    <w:rPr>
      <w:rFonts w:ascii="Verdana" w:eastAsia="Cambria" w:hAnsi="Verdana" w:cs="Times New Roman"/>
      <w:sz w:val="16"/>
    </w:rPr>
  </w:style>
  <w:style w:type="table" w:styleId="Tabellrutnt">
    <w:name w:val="Table Grid"/>
    <w:basedOn w:val="Normaltabell"/>
    <w:rsid w:val="005659C1"/>
    <w:rPr>
      <w:rFonts w:ascii="Cambria" w:eastAsia="Cambria" w:hAnsi="Cambria" w:cs="Times New Roman"/>
      <w:sz w:val="20"/>
      <w:szCs w:val="20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mURubrik1">
    <w:name w:val="UmU Rubrik1"/>
    <w:basedOn w:val="Normal"/>
    <w:next w:val="UmUNormal"/>
    <w:qFormat/>
    <w:rsid w:val="005659C1"/>
    <w:pPr>
      <w:spacing w:after="260" w:line="360" w:lineRule="exact"/>
      <w:outlineLvl w:val="0"/>
    </w:pPr>
    <w:rPr>
      <w:rFonts w:ascii="Georgia" w:eastAsia="Cambria" w:hAnsi="Georgia"/>
      <w:sz w:val="32"/>
      <w:lang w:eastAsia="en-US"/>
    </w:rPr>
  </w:style>
  <w:style w:type="paragraph" w:customStyle="1" w:styleId="UmUNormal">
    <w:name w:val="UmU Normal"/>
    <w:basedOn w:val="Normal"/>
    <w:qFormat/>
    <w:rsid w:val="005659C1"/>
    <w:pPr>
      <w:spacing w:after="260" w:line="260" w:lineRule="exact"/>
    </w:pPr>
    <w:rPr>
      <w:rFonts w:ascii="Georgia" w:eastAsia="Cambria" w:hAnsi="Georgia"/>
      <w:sz w:val="20"/>
      <w:lang w:eastAsia="en-US"/>
    </w:rPr>
  </w:style>
  <w:style w:type="paragraph" w:customStyle="1" w:styleId="UmURubrik2">
    <w:name w:val="UmU Rubrik2"/>
    <w:basedOn w:val="Normal"/>
    <w:next w:val="UmUNormal"/>
    <w:qFormat/>
    <w:rsid w:val="005659C1"/>
    <w:pPr>
      <w:spacing w:before="260" w:line="260" w:lineRule="exact"/>
      <w:outlineLvl w:val="1"/>
    </w:pPr>
    <w:rPr>
      <w:rFonts w:ascii="Georgia" w:eastAsia="Cambria" w:hAnsi="Georgia"/>
      <w:b/>
      <w:sz w:val="22"/>
      <w:lang w:eastAsia="en-US"/>
    </w:rPr>
  </w:style>
  <w:style w:type="paragraph" w:styleId="Normalwebb">
    <w:name w:val="Normal (Web)"/>
    <w:basedOn w:val="Normal"/>
    <w:uiPriority w:val="99"/>
    <w:unhideWhenUsed/>
    <w:rsid w:val="005659C1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9C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9C1"/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C7B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B2D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Andersson</dc:creator>
  <cp:keywords/>
  <dc:description/>
  <cp:lastModifiedBy>Daniel Andersson</cp:lastModifiedBy>
  <cp:revision>4</cp:revision>
  <dcterms:created xsi:type="dcterms:W3CDTF">2019-04-12T06:24:00Z</dcterms:created>
  <dcterms:modified xsi:type="dcterms:W3CDTF">2019-04-12T12:04:00Z</dcterms:modified>
</cp:coreProperties>
</file>